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2A33E0" w14:paraId="3D8848CE" w14:textId="77777777">
        <w:tblPrEx>
          <w:tblCellMar>
            <w:top w:w="0" w:type="dxa"/>
            <w:bottom w:w="0" w:type="dxa"/>
          </w:tblCellMar>
        </w:tblPrEx>
        <w:trPr>
          <w:tblCellSpacing w:w="60" w:type="dxa"/>
        </w:trPr>
        <w:tc>
          <w:tcPr>
            <w:tcW w:w="1200" w:type="pct"/>
            <w:shd w:val="clear" w:color="auto" w:fill="E7F0F9"/>
          </w:tcPr>
          <w:p w14:paraId="2D989BBF" w14:textId="77777777" w:rsidR="002A33E0" w:rsidRDefault="00000000">
            <w:pPr>
              <w:spacing w:after="0" w:line="240" w:lineRule="auto"/>
            </w:pPr>
            <w:r>
              <w:rPr>
                <w:b/>
              </w:rPr>
              <w:t>RKP broj</w:t>
            </w:r>
          </w:p>
        </w:tc>
        <w:tc>
          <w:tcPr>
            <w:tcW w:w="0" w:type="auto"/>
            <w:shd w:val="clear" w:color="auto" w:fill="E7F0F9"/>
          </w:tcPr>
          <w:p w14:paraId="529BC959" w14:textId="77777777" w:rsidR="002A33E0" w:rsidRDefault="00000000">
            <w:pPr>
              <w:spacing w:after="0" w:line="240" w:lineRule="auto"/>
            </w:pPr>
            <w:r>
              <w:t>35167</w:t>
            </w:r>
          </w:p>
        </w:tc>
      </w:tr>
      <w:tr w:rsidR="002A33E0" w14:paraId="36BEBA96" w14:textId="77777777">
        <w:tblPrEx>
          <w:tblCellMar>
            <w:top w:w="0" w:type="dxa"/>
            <w:bottom w:w="0" w:type="dxa"/>
          </w:tblCellMar>
        </w:tblPrEx>
        <w:trPr>
          <w:tblCellSpacing w:w="60" w:type="dxa"/>
        </w:trPr>
        <w:tc>
          <w:tcPr>
            <w:tcW w:w="1200" w:type="pct"/>
            <w:shd w:val="clear" w:color="auto" w:fill="E7F0F9"/>
          </w:tcPr>
          <w:p w14:paraId="305DC8C6" w14:textId="77777777" w:rsidR="002A33E0" w:rsidRDefault="00000000">
            <w:pPr>
              <w:spacing w:after="0" w:line="240" w:lineRule="auto"/>
            </w:pPr>
            <w:r>
              <w:rPr>
                <w:b/>
              </w:rPr>
              <w:t>Naziv obveznika</w:t>
            </w:r>
          </w:p>
        </w:tc>
        <w:tc>
          <w:tcPr>
            <w:tcW w:w="0" w:type="auto"/>
            <w:shd w:val="clear" w:color="auto" w:fill="E7F0F9"/>
          </w:tcPr>
          <w:p w14:paraId="18EC27C7" w14:textId="77777777" w:rsidR="002A33E0" w:rsidRDefault="00000000">
            <w:pPr>
              <w:spacing w:after="0" w:line="240" w:lineRule="auto"/>
            </w:pPr>
            <w:r>
              <w:t>OPĆINA RAŽANAC</w:t>
            </w:r>
          </w:p>
        </w:tc>
      </w:tr>
      <w:tr w:rsidR="002A33E0" w14:paraId="006CA204" w14:textId="77777777">
        <w:tblPrEx>
          <w:tblCellMar>
            <w:top w:w="0" w:type="dxa"/>
            <w:bottom w:w="0" w:type="dxa"/>
          </w:tblCellMar>
        </w:tblPrEx>
        <w:trPr>
          <w:tblCellSpacing w:w="60" w:type="dxa"/>
        </w:trPr>
        <w:tc>
          <w:tcPr>
            <w:tcW w:w="1200" w:type="pct"/>
            <w:shd w:val="clear" w:color="auto" w:fill="E7F0F9"/>
          </w:tcPr>
          <w:p w14:paraId="4E08D64C" w14:textId="77777777" w:rsidR="002A33E0" w:rsidRDefault="00000000">
            <w:pPr>
              <w:spacing w:after="0" w:line="240" w:lineRule="auto"/>
            </w:pPr>
            <w:r>
              <w:rPr>
                <w:b/>
              </w:rPr>
              <w:t>Razina</w:t>
            </w:r>
          </w:p>
        </w:tc>
        <w:tc>
          <w:tcPr>
            <w:tcW w:w="0" w:type="auto"/>
            <w:shd w:val="clear" w:color="auto" w:fill="E7F0F9"/>
          </w:tcPr>
          <w:p w14:paraId="4411F83A" w14:textId="77777777" w:rsidR="002A33E0" w:rsidRDefault="00000000">
            <w:pPr>
              <w:spacing w:after="0" w:line="240" w:lineRule="auto"/>
            </w:pPr>
            <w:r>
              <w:t>22</w:t>
            </w:r>
          </w:p>
        </w:tc>
      </w:tr>
    </w:tbl>
    <w:p w14:paraId="629017DE" w14:textId="77777777" w:rsidR="002A33E0" w:rsidRDefault="00000000">
      <w:r>
        <w:br/>
      </w:r>
    </w:p>
    <w:p w14:paraId="4CF08421" w14:textId="77777777" w:rsidR="002A33E0" w:rsidRDefault="00000000">
      <w:pPr>
        <w:spacing w:line="240" w:lineRule="auto"/>
        <w:jc w:val="center"/>
      </w:pPr>
      <w:r>
        <w:rPr>
          <w:b/>
          <w:sz w:val="28"/>
        </w:rPr>
        <w:t>BILJEŠKE UZ FINANCIJSKE IZVJEŠTAJE</w:t>
      </w:r>
    </w:p>
    <w:p w14:paraId="4209BB2F" w14:textId="77777777" w:rsidR="002A33E0" w:rsidRDefault="00000000">
      <w:pPr>
        <w:spacing w:line="240" w:lineRule="auto"/>
        <w:jc w:val="center"/>
      </w:pPr>
      <w:r>
        <w:rPr>
          <w:b/>
          <w:sz w:val="28"/>
        </w:rPr>
        <w:t>ZA RAZDOBLJE</w:t>
      </w:r>
    </w:p>
    <w:p w14:paraId="0A5EC1B6" w14:textId="77777777" w:rsidR="002A33E0" w:rsidRDefault="00000000">
      <w:pPr>
        <w:spacing w:line="240" w:lineRule="auto"/>
        <w:jc w:val="center"/>
      </w:pPr>
      <w:r>
        <w:rPr>
          <w:b/>
          <w:sz w:val="28"/>
        </w:rPr>
        <w:t>I - VI 2025.</w:t>
      </w:r>
    </w:p>
    <w:p w14:paraId="703A091A" w14:textId="77777777" w:rsidR="002A33E0" w:rsidRDefault="002A33E0"/>
    <w:p w14:paraId="7D7C2E2A" w14:textId="77777777" w:rsidR="002A33E0" w:rsidRDefault="00000000">
      <w:pPr>
        <w:keepNext/>
        <w:spacing w:line="240" w:lineRule="auto"/>
        <w:jc w:val="center"/>
      </w:pPr>
      <w:r>
        <w:rPr>
          <w:b/>
          <w:sz w:val="28"/>
        </w:rPr>
        <w:t>Izvještaj o prihodima i rashodima, primicima i izdacima</w:t>
      </w:r>
    </w:p>
    <w:p w14:paraId="20040E0D" w14:textId="77777777" w:rsidR="002A33E0"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A33E0" w14:paraId="1515F17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9BC7E3" w14:textId="77777777" w:rsidR="002A33E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1502E07" w14:textId="77777777" w:rsidR="002A33E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027EDC" w14:textId="77777777" w:rsidR="002A33E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C9A03B" w14:textId="77777777" w:rsidR="002A33E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014B6E5" w14:textId="77777777" w:rsidR="002A33E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5B9699F" w14:textId="77777777" w:rsidR="002A33E0" w:rsidRDefault="00000000">
            <w:pPr>
              <w:keepNext/>
              <w:keepLines/>
              <w:spacing w:after="0" w:line="240" w:lineRule="auto"/>
              <w:jc w:val="center"/>
            </w:pPr>
            <w:r>
              <w:rPr>
                <w:b/>
                <w:sz w:val="18"/>
              </w:rPr>
              <w:t>Indeks (%)</w:t>
            </w:r>
          </w:p>
        </w:tc>
      </w:tr>
      <w:tr w:rsidR="002A33E0" w14:paraId="14F2465C" w14:textId="77777777">
        <w:tblPrEx>
          <w:tblCellMar>
            <w:top w:w="0" w:type="dxa"/>
            <w:bottom w:w="0" w:type="dxa"/>
          </w:tblCellMar>
        </w:tblPrEx>
        <w:trPr>
          <w:cantSplit/>
          <w:trHeight w:val="560"/>
        </w:trPr>
        <w:tc>
          <w:tcPr>
            <w:tcW w:w="700" w:type="dxa"/>
            <w:tcMar>
              <w:top w:w="0" w:type="dxa"/>
              <w:bottom w:w="0" w:type="dxa"/>
            </w:tcMar>
            <w:vAlign w:val="center"/>
          </w:tcPr>
          <w:p w14:paraId="05DD7A57" w14:textId="77777777" w:rsidR="002A33E0" w:rsidRDefault="00000000">
            <w:pPr>
              <w:keepNext/>
              <w:keepLines/>
              <w:spacing w:after="0" w:line="240" w:lineRule="auto"/>
            </w:pPr>
            <w:r>
              <w:rPr>
                <w:sz w:val="18"/>
              </w:rPr>
              <w:t>6</w:t>
            </w:r>
          </w:p>
        </w:tc>
        <w:tc>
          <w:tcPr>
            <w:tcW w:w="3180" w:type="dxa"/>
            <w:tcMar>
              <w:top w:w="0" w:type="dxa"/>
              <w:bottom w:w="0" w:type="dxa"/>
            </w:tcMar>
            <w:vAlign w:val="center"/>
          </w:tcPr>
          <w:p w14:paraId="1CAB04BE" w14:textId="77777777" w:rsidR="002A33E0"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67E1BC25" w14:textId="77777777" w:rsidR="002A33E0" w:rsidRDefault="00000000">
            <w:pPr>
              <w:keepNext/>
              <w:keepLines/>
              <w:spacing w:after="0" w:line="240" w:lineRule="auto"/>
            </w:pPr>
            <w:r>
              <w:rPr>
                <w:sz w:val="18"/>
              </w:rPr>
              <w:t>6</w:t>
            </w:r>
          </w:p>
        </w:tc>
        <w:tc>
          <w:tcPr>
            <w:tcW w:w="1860" w:type="dxa"/>
            <w:tcMar>
              <w:top w:w="0" w:type="dxa"/>
              <w:bottom w:w="0" w:type="dxa"/>
            </w:tcMar>
            <w:vAlign w:val="center"/>
          </w:tcPr>
          <w:p w14:paraId="59FBD073" w14:textId="77777777" w:rsidR="002A33E0" w:rsidRDefault="00000000">
            <w:pPr>
              <w:keepNext/>
              <w:keepLines/>
              <w:spacing w:after="0" w:line="240" w:lineRule="auto"/>
              <w:jc w:val="right"/>
            </w:pPr>
            <w:r>
              <w:rPr>
                <w:sz w:val="18"/>
              </w:rPr>
              <w:t>1.288.221,21</w:t>
            </w:r>
          </w:p>
        </w:tc>
        <w:tc>
          <w:tcPr>
            <w:tcW w:w="1860" w:type="dxa"/>
            <w:tcMar>
              <w:top w:w="0" w:type="dxa"/>
              <w:bottom w:w="0" w:type="dxa"/>
            </w:tcMar>
            <w:vAlign w:val="center"/>
          </w:tcPr>
          <w:p w14:paraId="2C78B308" w14:textId="77777777" w:rsidR="002A33E0" w:rsidRDefault="00000000">
            <w:pPr>
              <w:keepNext/>
              <w:keepLines/>
              <w:spacing w:after="0" w:line="240" w:lineRule="auto"/>
              <w:jc w:val="right"/>
            </w:pPr>
            <w:r>
              <w:rPr>
                <w:sz w:val="18"/>
              </w:rPr>
              <w:t>1.466.011,62</w:t>
            </w:r>
          </w:p>
        </w:tc>
        <w:tc>
          <w:tcPr>
            <w:tcW w:w="700" w:type="dxa"/>
            <w:tcMar>
              <w:top w:w="0" w:type="dxa"/>
              <w:bottom w:w="0" w:type="dxa"/>
            </w:tcMar>
            <w:vAlign w:val="center"/>
          </w:tcPr>
          <w:p w14:paraId="2D78F8EC" w14:textId="77777777" w:rsidR="002A33E0" w:rsidRDefault="00000000">
            <w:pPr>
              <w:keepNext/>
              <w:keepLines/>
              <w:spacing w:after="0" w:line="240" w:lineRule="auto"/>
              <w:jc w:val="right"/>
            </w:pPr>
            <w:r>
              <w:rPr>
                <w:sz w:val="18"/>
              </w:rPr>
              <w:t>113,8</w:t>
            </w:r>
          </w:p>
        </w:tc>
      </w:tr>
      <w:tr w:rsidR="002A33E0" w14:paraId="0DE9B605" w14:textId="77777777">
        <w:tblPrEx>
          <w:tblCellMar>
            <w:top w:w="0" w:type="dxa"/>
            <w:bottom w:w="0" w:type="dxa"/>
          </w:tblCellMar>
        </w:tblPrEx>
        <w:trPr>
          <w:cantSplit/>
          <w:trHeight w:val="560"/>
        </w:trPr>
        <w:tc>
          <w:tcPr>
            <w:tcW w:w="700" w:type="dxa"/>
            <w:tcMar>
              <w:top w:w="0" w:type="dxa"/>
              <w:bottom w:w="0" w:type="dxa"/>
            </w:tcMar>
            <w:vAlign w:val="center"/>
          </w:tcPr>
          <w:p w14:paraId="2D81FBFC" w14:textId="77777777" w:rsidR="002A33E0" w:rsidRDefault="00000000">
            <w:pPr>
              <w:keepNext/>
              <w:keepLines/>
              <w:spacing w:after="0" w:line="240" w:lineRule="auto"/>
            </w:pPr>
            <w:r>
              <w:rPr>
                <w:sz w:val="18"/>
              </w:rPr>
              <w:t>3</w:t>
            </w:r>
          </w:p>
        </w:tc>
        <w:tc>
          <w:tcPr>
            <w:tcW w:w="3180" w:type="dxa"/>
            <w:tcMar>
              <w:top w:w="0" w:type="dxa"/>
              <w:bottom w:w="0" w:type="dxa"/>
            </w:tcMar>
            <w:vAlign w:val="center"/>
          </w:tcPr>
          <w:p w14:paraId="6EACADBD" w14:textId="77777777" w:rsidR="002A33E0"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71921887" w14:textId="77777777" w:rsidR="002A33E0" w:rsidRDefault="00000000">
            <w:pPr>
              <w:keepNext/>
              <w:keepLines/>
              <w:spacing w:after="0" w:line="240" w:lineRule="auto"/>
            </w:pPr>
            <w:r>
              <w:rPr>
                <w:sz w:val="18"/>
              </w:rPr>
              <w:t>3</w:t>
            </w:r>
          </w:p>
        </w:tc>
        <w:tc>
          <w:tcPr>
            <w:tcW w:w="1860" w:type="dxa"/>
            <w:tcMar>
              <w:top w:w="0" w:type="dxa"/>
              <w:bottom w:w="0" w:type="dxa"/>
            </w:tcMar>
            <w:vAlign w:val="center"/>
          </w:tcPr>
          <w:p w14:paraId="0CC3F067" w14:textId="77777777" w:rsidR="002A33E0" w:rsidRDefault="00000000">
            <w:pPr>
              <w:keepNext/>
              <w:keepLines/>
              <w:spacing w:after="0" w:line="240" w:lineRule="auto"/>
              <w:jc w:val="right"/>
            </w:pPr>
            <w:r>
              <w:rPr>
                <w:sz w:val="18"/>
              </w:rPr>
              <w:t>779.708,15</w:t>
            </w:r>
          </w:p>
        </w:tc>
        <w:tc>
          <w:tcPr>
            <w:tcW w:w="1860" w:type="dxa"/>
            <w:tcMar>
              <w:top w:w="0" w:type="dxa"/>
              <w:bottom w:w="0" w:type="dxa"/>
            </w:tcMar>
            <w:vAlign w:val="center"/>
          </w:tcPr>
          <w:p w14:paraId="53EA4E8C" w14:textId="77777777" w:rsidR="002A33E0" w:rsidRDefault="00000000">
            <w:pPr>
              <w:keepNext/>
              <w:keepLines/>
              <w:spacing w:after="0" w:line="240" w:lineRule="auto"/>
              <w:jc w:val="right"/>
            </w:pPr>
            <w:r>
              <w:rPr>
                <w:sz w:val="18"/>
              </w:rPr>
              <w:t>1.303.017,31</w:t>
            </w:r>
          </w:p>
        </w:tc>
        <w:tc>
          <w:tcPr>
            <w:tcW w:w="700" w:type="dxa"/>
            <w:tcMar>
              <w:top w:w="0" w:type="dxa"/>
              <w:bottom w:w="0" w:type="dxa"/>
            </w:tcMar>
            <w:vAlign w:val="center"/>
          </w:tcPr>
          <w:p w14:paraId="5ED4345D" w14:textId="77777777" w:rsidR="002A33E0" w:rsidRDefault="00000000">
            <w:pPr>
              <w:keepNext/>
              <w:keepLines/>
              <w:spacing w:after="0" w:line="240" w:lineRule="auto"/>
              <w:jc w:val="right"/>
            </w:pPr>
            <w:r>
              <w:rPr>
                <w:sz w:val="18"/>
              </w:rPr>
              <w:t>167,1</w:t>
            </w:r>
          </w:p>
        </w:tc>
      </w:tr>
      <w:tr w:rsidR="002A33E0" w14:paraId="619132A8" w14:textId="77777777">
        <w:tblPrEx>
          <w:tblCellMar>
            <w:top w:w="0" w:type="dxa"/>
            <w:bottom w:w="0" w:type="dxa"/>
          </w:tblCellMar>
        </w:tblPrEx>
        <w:trPr>
          <w:cantSplit/>
          <w:trHeight w:val="560"/>
        </w:trPr>
        <w:tc>
          <w:tcPr>
            <w:tcW w:w="700" w:type="dxa"/>
            <w:tcMar>
              <w:top w:w="0" w:type="dxa"/>
              <w:bottom w:w="0" w:type="dxa"/>
            </w:tcMar>
            <w:vAlign w:val="center"/>
          </w:tcPr>
          <w:p w14:paraId="59F89650" w14:textId="77777777" w:rsidR="002A33E0" w:rsidRDefault="002A33E0">
            <w:pPr>
              <w:keepNext/>
              <w:keepLines/>
              <w:spacing w:after="0" w:line="240" w:lineRule="auto"/>
            </w:pPr>
          </w:p>
        </w:tc>
        <w:tc>
          <w:tcPr>
            <w:tcW w:w="3180" w:type="dxa"/>
            <w:tcMar>
              <w:top w:w="0" w:type="dxa"/>
              <w:bottom w:w="0" w:type="dxa"/>
            </w:tcMar>
            <w:vAlign w:val="center"/>
          </w:tcPr>
          <w:p w14:paraId="30AB5341" w14:textId="77777777" w:rsidR="002A33E0"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37A5B670" w14:textId="77777777" w:rsidR="002A33E0" w:rsidRDefault="00000000">
            <w:pPr>
              <w:keepNext/>
              <w:keepLines/>
              <w:spacing w:after="0" w:line="240" w:lineRule="auto"/>
            </w:pPr>
            <w:r>
              <w:rPr>
                <w:b/>
                <w:sz w:val="18"/>
              </w:rPr>
              <w:t>X001</w:t>
            </w:r>
          </w:p>
        </w:tc>
        <w:tc>
          <w:tcPr>
            <w:tcW w:w="1860" w:type="dxa"/>
            <w:tcMar>
              <w:top w:w="0" w:type="dxa"/>
              <w:bottom w:w="0" w:type="dxa"/>
            </w:tcMar>
            <w:vAlign w:val="center"/>
          </w:tcPr>
          <w:p w14:paraId="6B54A7A6" w14:textId="77777777" w:rsidR="002A33E0" w:rsidRDefault="00000000">
            <w:pPr>
              <w:keepNext/>
              <w:keepLines/>
              <w:spacing w:after="0" w:line="240" w:lineRule="auto"/>
              <w:jc w:val="right"/>
            </w:pPr>
            <w:r>
              <w:rPr>
                <w:b/>
                <w:sz w:val="18"/>
              </w:rPr>
              <w:t>508.513,06</w:t>
            </w:r>
          </w:p>
        </w:tc>
        <w:tc>
          <w:tcPr>
            <w:tcW w:w="1860" w:type="dxa"/>
            <w:tcMar>
              <w:top w:w="0" w:type="dxa"/>
              <w:bottom w:w="0" w:type="dxa"/>
            </w:tcMar>
            <w:vAlign w:val="center"/>
          </w:tcPr>
          <w:p w14:paraId="29B077A7" w14:textId="77777777" w:rsidR="002A33E0" w:rsidRDefault="00000000">
            <w:pPr>
              <w:keepNext/>
              <w:keepLines/>
              <w:spacing w:after="0" w:line="240" w:lineRule="auto"/>
              <w:jc w:val="right"/>
            </w:pPr>
            <w:r>
              <w:rPr>
                <w:b/>
                <w:sz w:val="18"/>
              </w:rPr>
              <w:t>162.994,31</w:t>
            </w:r>
          </w:p>
        </w:tc>
        <w:tc>
          <w:tcPr>
            <w:tcW w:w="700" w:type="dxa"/>
            <w:tcMar>
              <w:top w:w="0" w:type="dxa"/>
              <w:bottom w:w="0" w:type="dxa"/>
            </w:tcMar>
            <w:vAlign w:val="center"/>
          </w:tcPr>
          <w:p w14:paraId="71EB0E51" w14:textId="77777777" w:rsidR="002A33E0" w:rsidRDefault="00000000">
            <w:pPr>
              <w:keepNext/>
              <w:keepLines/>
              <w:spacing w:after="0" w:line="240" w:lineRule="auto"/>
              <w:jc w:val="right"/>
            </w:pPr>
            <w:r>
              <w:rPr>
                <w:b/>
                <w:sz w:val="18"/>
              </w:rPr>
              <w:t>32,1</w:t>
            </w:r>
          </w:p>
        </w:tc>
      </w:tr>
      <w:tr w:rsidR="002A33E0" w14:paraId="769D24F1" w14:textId="77777777">
        <w:tblPrEx>
          <w:tblCellMar>
            <w:top w:w="0" w:type="dxa"/>
            <w:bottom w:w="0" w:type="dxa"/>
          </w:tblCellMar>
        </w:tblPrEx>
        <w:trPr>
          <w:cantSplit/>
          <w:trHeight w:val="560"/>
        </w:trPr>
        <w:tc>
          <w:tcPr>
            <w:tcW w:w="700" w:type="dxa"/>
            <w:tcMar>
              <w:top w:w="0" w:type="dxa"/>
              <w:bottom w:w="0" w:type="dxa"/>
            </w:tcMar>
            <w:vAlign w:val="center"/>
          </w:tcPr>
          <w:p w14:paraId="1A515357" w14:textId="77777777" w:rsidR="002A33E0" w:rsidRDefault="00000000">
            <w:pPr>
              <w:keepNext/>
              <w:keepLines/>
              <w:spacing w:after="0" w:line="240" w:lineRule="auto"/>
            </w:pPr>
            <w:r>
              <w:rPr>
                <w:sz w:val="18"/>
              </w:rPr>
              <w:t>7</w:t>
            </w:r>
          </w:p>
        </w:tc>
        <w:tc>
          <w:tcPr>
            <w:tcW w:w="3180" w:type="dxa"/>
            <w:tcMar>
              <w:top w:w="0" w:type="dxa"/>
              <w:bottom w:w="0" w:type="dxa"/>
            </w:tcMar>
            <w:vAlign w:val="center"/>
          </w:tcPr>
          <w:p w14:paraId="3CF6F132" w14:textId="77777777" w:rsidR="002A33E0"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688FD4AB" w14:textId="77777777" w:rsidR="002A33E0" w:rsidRDefault="00000000">
            <w:pPr>
              <w:keepNext/>
              <w:keepLines/>
              <w:spacing w:after="0" w:line="240" w:lineRule="auto"/>
            </w:pPr>
            <w:r>
              <w:rPr>
                <w:sz w:val="18"/>
              </w:rPr>
              <w:t>7</w:t>
            </w:r>
          </w:p>
        </w:tc>
        <w:tc>
          <w:tcPr>
            <w:tcW w:w="1860" w:type="dxa"/>
            <w:tcMar>
              <w:top w:w="0" w:type="dxa"/>
              <w:bottom w:w="0" w:type="dxa"/>
            </w:tcMar>
            <w:vAlign w:val="center"/>
          </w:tcPr>
          <w:p w14:paraId="70DE853A" w14:textId="77777777" w:rsidR="002A33E0" w:rsidRDefault="00000000">
            <w:pPr>
              <w:keepNext/>
              <w:keepLines/>
              <w:spacing w:after="0" w:line="240" w:lineRule="auto"/>
              <w:jc w:val="right"/>
            </w:pPr>
            <w:r>
              <w:rPr>
                <w:sz w:val="18"/>
              </w:rPr>
              <w:t>331.267,20</w:t>
            </w:r>
          </w:p>
        </w:tc>
        <w:tc>
          <w:tcPr>
            <w:tcW w:w="1860" w:type="dxa"/>
            <w:tcMar>
              <w:top w:w="0" w:type="dxa"/>
              <w:bottom w:w="0" w:type="dxa"/>
            </w:tcMar>
            <w:vAlign w:val="center"/>
          </w:tcPr>
          <w:p w14:paraId="23A9EB7F" w14:textId="77777777" w:rsidR="002A33E0" w:rsidRDefault="00000000">
            <w:pPr>
              <w:keepNext/>
              <w:keepLines/>
              <w:spacing w:after="0" w:line="240" w:lineRule="auto"/>
              <w:jc w:val="right"/>
            </w:pPr>
            <w:r>
              <w:rPr>
                <w:sz w:val="18"/>
              </w:rPr>
              <w:t>12.446,01</w:t>
            </w:r>
          </w:p>
        </w:tc>
        <w:tc>
          <w:tcPr>
            <w:tcW w:w="700" w:type="dxa"/>
            <w:tcMar>
              <w:top w:w="0" w:type="dxa"/>
              <w:bottom w:w="0" w:type="dxa"/>
            </w:tcMar>
            <w:vAlign w:val="center"/>
          </w:tcPr>
          <w:p w14:paraId="48BC307E" w14:textId="77777777" w:rsidR="002A33E0" w:rsidRDefault="00000000">
            <w:pPr>
              <w:keepNext/>
              <w:keepLines/>
              <w:spacing w:after="0" w:line="240" w:lineRule="auto"/>
              <w:jc w:val="right"/>
            </w:pPr>
            <w:r>
              <w:rPr>
                <w:sz w:val="18"/>
              </w:rPr>
              <w:t>3,8</w:t>
            </w:r>
          </w:p>
        </w:tc>
      </w:tr>
      <w:tr w:rsidR="002A33E0" w14:paraId="38BD591C" w14:textId="77777777">
        <w:tblPrEx>
          <w:tblCellMar>
            <w:top w:w="0" w:type="dxa"/>
            <w:bottom w:w="0" w:type="dxa"/>
          </w:tblCellMar>
        </w:tblPrEx>
        <w:trPr>
          <w:cantSplit/>
          <w:trHeight w:val="560"/>
        </w:trPr>
        <w:tc>
          <w:tcPr>
            <w:tcW w:w="700" w:type="dxa"/>
            <w:tcMar>
              <w:top w:w="0" w:type="dxa"/>
              <w:bottom w:w="0" w:type="dxa"/>
            </w:tcMar>
            <w:vAlign w:val="center"/>
          </w:tcPr>
          <w:p w14:paraId="059F2339" w14:textId="77777777" w:rsidR="002A33E0" w:rsidRDefault="00000000">
            <w:pPr>
              <w:keepNext/>
              <w:keepLines/>
              <w:spacing w:after="0" w:line="240" w:lineRule="auto"/>
            </w:pPr>
            <w:r>
              <w:rPr>
                <w:sz w:val="18"/>
              </w:rPr>
              <w:t>4</w:t>
            </w:r>
          </w:p>
        </w:tc>
        <w:tc>
          <w:tcPr>
            <w:tcW w:w="3180" w:type="dxa"/>
            <w:tcMar>
              <w:top w:w="0" w:type="dxa"/>
              <w:bottom w:w="0" w:type="dxa"/>
            </w:tcMar>
            <w:vAlign w:val="center"/>
          </w:tcPr>
          <w:p w14:paraId="4516E3F3" w14:textId="77777777" w:rsidR="002A33E0"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1A33BB7E" w14:textId="77777777" w:rsidR="002A33E0" w:rsidRDefault="00000000">
            <w:pPr>
              <w:keepNext/>
              <w:keepLines/>
              <w:spacing w:after="0" w:line="240" w:lineRule="auto"/>
            </w:pPr>
            <w:r>
              <w:rPr>
                <w:sz w:val="18"/>
              </w:rPr>
              <w:t>4</w:t>
            </w:r>
          </w:p>
        </w:tc>
        <w:tc>
          <w:tcPr>
            <w:tcW w:w="1860" w:type="dxa"/>
            <w:tcMar>
              <w:top w:w="0" w:type="dxa"/>
              <w:bottom w:w="0" w:type="dxa"/>
            </w:tcMar>
            <w:vAlign w:val="center"/>
          </w:tcPr>
          <w:p w14:paraId="4DAC9EEC" w14:textId="77777777" w:rsidR="002A33E0" w:rsidRDefault="00000000">
            <w:pPr>
              <w:keepNext/>
              <w:keepLines/>
              <w:spacing w:after="0" w:line="240" w:lineRule="auto"/>
              <w:jc w:val="right"/>
            </w:pPr>
            <w:r>
              <w:rPr>
                <w:sz w:val="18"/>
              </w:rPr>
              <w:t>699.286,97</w:t>
            </w:r>
          </w:p>
        </w:tc>
        <w:tc>
          <w:tcPr>
            <w:tcW w:w="1860" w:type="dxa"/>
            <w:tcMar>
              <w:top w:w="0" w:type="dxa"/>
              <w:bottom w:w="0" w:type="dxa"/>
            </w:tcMar>
            <w:vAlign w:val="center"/>
          </w:tcPr>
          <w:p w14:paraId="7259AEE1" w14:textId="77777777" w:rsidR="002A33E0" w:rsidRDefault="00000000">
            <w:pPr>
              <w:keepNext/>
              <w:keepLines/>
              <w:spacing w:after="0" w:line="240" w:lineRule="auto"/>
              <w:jc w:val="right"/>
            </w:pPr>
            <w:r>
              <w:rPr>
                <w:sz w:val="18"/>
              </w:rPr>
              <w:t>1.307.987,83</w:t>
            </w:r>
          </w:p>
        </w:tc>
        <w:tc>
          <w:tcPr>
            <w:tcW w:w="700" w:type="dxa"/>
            <w:tcMar>
              <w:top w:w="0" w:type="dxa"/>
              <w:bottom w:w="0" w:type="dxa"/>
            </w:tcMar>
            <w:vAlign w:val="center"/>
          </w:tcPr>
          <w:p w14:paraId="7596E432" w14:textId="77777777" w:rsidR="002A33E0" w:rsidRDefault="00000000">
            <w:pPr>
              <w:keepNext/>
              <w:keepLines/>
              <w:spacing w:after="0" w:line="240" w:lineRule="auto"/>
              <w:jc w:val="right"/>
            </w:pPr>
            <w:r>
              <w:rPr>
                <w:sz w:val="18"/>
              </w:rPr>
              <w:t>187,0</w:t>
            </w:r>
          </w:p>
        </w:tc>
      </w:tr>
      <w:tr w:rsidR="002A33E0" w14:paraId="097A7C5B" w14:textId="77777777">
        <w:tblPrEx>
          <w:tblCellMar>
            <w:top w:w="0" w:type="dxa"/>
            <w:bottom w:w="0" w:type="dxa"/>
          </w:tblCellMar>
        </w:tblPrEx>
        <w:trPr>
          <w:cantSplit/>
          <w:trHeight w:val="560"/>
        </w:trPr>
        <w:tc>
          <w:tcPr>
            <w:tcW w:w="700" w:type="dxa"/>
            <w:tcMar>
              <w:top w:w="0" w:type="dxa"/>
              <w:bottom w:w="0" w:type="dxa"/>
            </w:tcMar>
            <w:vAlign w:val="center"/>
          </w:tcPr>
          <w:p w14:paraId="53106641" w14:textId="77777777" w:rsidR="002A33E0" w:rsidRDefault="002A33E0">
            <w:pPr>
              <w:keepNext/>
              <w:keepLines/>
              <w:spacing w:after="0" w:line="240" w:lineRule="auto"/>
            </w:pPr>
          </w:p>
        </w:tc>
        <w:tc>
          <w:tcPr>
            <w:tcW w:w="3180" w:type="dxa"/>
            <w:tcMar>
              <w:top w:w="0" w:type="dxa"/>
              <w:bottom w:w="0" w:type="dxa"/>
            </w:tcMar>
            <w:vAlign w:val="center"/>
          </w:tcPr>
          <w:p w14:paraId="372FB8B6" w14:textId="77777777" w:rsidR="002A33E0"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3CCDE394" w14:textId="77777777" w:rsidR="002A33E0" w:rsidRDefault="00000000">
            <w:pPr>
              <w:keepNext/>
              <w:keepLines/>
              <w:spacing w:after="0" w:line="240" w:lineRule="auto"/>
            </w:pPr>
            <w:r>
              <w:rPr>
                <w:b/>
                <w:sz w:val="18"/>
              </w:rPr>
              <w:t>Y002</w:t>
            </w:r>
          </w:p>
        </w:tc>
        <w:tc>
          <w:tcPr>
            <w:tcW w:w="1860" w:type="dxa"/>
            <w:tcMar>
              <w:top w:w="0" w:type="dxa"/>
              <w:bottom w:w="0" w:type="dxa"/>
            </w:tcMar>
            <w:vAlign w:val="center"/>
          </w:tcPr>
          <w:p w14:paraId="41A066DA" w14:textId="77777777" w:rsidR="002A33E0" w:rsidRDefault="00000000">
            <w:pPr>
              <w:keepNext/>
              <w:keepLines/>
              <w:spacing w:after="0" w:line="240" w:lineRule="auto"/>
              <w:jc w:val="right"/>
            </w:pPr>
            <w:r>
              <w:rPr>
                <w:b/>
                <w:sz w:val="18"/>
              </w:rPr>
              <w:t>368.019,77</w:t>
            </w:r>
          </w:p>
        </w:tc>
        <w:tc>
          <w:tcPr>
            <w:tcW w:w="1860" w:type="dxa"/>
            <w:tcMar>
              <w:top w:w="0" w:type="dxa"/>
              <w:bottom w:w="0" w:type="dxa"/>
            </w:tcMar>
            <w:vAlign w:val="center"/>
          </w:tcPr>
          <w:p w14:paraId="41969AFA" w14:textId="77777777" w:rsidR="002A33E0" w:rsidRDefault="00000000">
            <w:pPr>
              <w:keepNext/>
              <w:keepLines/>
              <w:spacing w:after="0" w:line="240" w:lineRule="auto"/>
              <w:jc w:val="right"/>
            </w:pPr>
            <w:r>
              <w:rPr>
                <w:b/>
                <w:sz w:val="18"/>
              </w:rPr>
              <w:t>1.295.541,82</w:t>
            </w:r>
          </w:p>
        </w:tc>
        <w:tc>
          <w:tcPr>
            <w:tcW w:w="700" w:type="dxa"/>
            <w:tcMar>
              <w:top w:w="0" w:type="dxa"/>
              <w:bottom w:w="0" w:type="dxa"/>
            </w:tcMar>
            <w:vAlign w:val="center"/>
          </w:tcPr>
          <w:p w14:paraId="49C4443C" w14:textId="77777777" w:rsidR="002A33E0" w:rsidRDefault="00000000">
            <w:pPr>
              <w:keepNext/>
              <w:keepLines/>
              <w:spacing w:after="0" w:line="240" w:lineRule="auto"/>
              <w:jc w:val="right"/>
            </w:pPr>
            <w:r>
              <w:rPr>
                <w:b/>
                <w:sz w:val="18"/>
              </w:rPr>
              <w:t>352,0</w:t>
            </w:r>
          </w:p>
        </w:tc>
      </w:tr>
      <w:tr w:rsidR="002A33E0" w14:paraId="0E1CE235" w14:textId="77777777">
        <w:tblPrEx>
          <w:tblCellMar>
            <w:top w:w="0" w:type="dxa"/>
            <w:bottom w:w="0" w:type="dxa"/>
          </w:tblCellMar>
        </w:tblPrEx>
        <w:trPr>
          <w:cantSplit/>
          <w:trHeight w:val="560"/>
        </w:trPr>
        <w:tc>
          <w:tcPr>
            <w:tcW w:w="700" w:type="dxa"/>
            <w:tcMar>
              <w:top w:w="0" w:type="dxa"/>
              <w:bottom w:w="0" w:type="dxa"/>
            </w:tcMar>
            <w:vAlign w:val="center"/>
          </w:tcPr>
          <w:p w14:paraId="3B015845" w14:textId="77777777" w:rsidR="002A33E0" w:rsidRDefault="00000000">
            <w:pPr>
              <w:keepNext/>
              <w:keepLines/>
              <w:spacing w:after="0" w:line="240" w:lineRule="auto"/>
            </w:pPr>
            <w:r>
              <w:rPr>
                <w:sz w:val="18"/>
              </w:rPr>
              <w:t>8</w:t>
            </w:r>
          </w:p>
        </w:tc>
        <w:tc>
          <w:tcPr>
            <w:tcW w:w="3180" w:type="dxa"/>
            <w:tcMar>
              <w:top w:w="0" w:type="dxa"/>
              <w:bottom w:w="0" w:type="dxa"/>
            </w:tcMar>
            <w:vAlign w:val="center"/>
          </w:tcPr>
          <w:p w14:paraId="3DA42529" w14:textId="77777777" w:rsidR="002A33E0"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5D32646B" w14:textId="77777777" w:rsidR="002A33E0" w:rsidRDefault="00000000">
            <w:pPr>
              <w:keepNext/>
              <w:keepLines/>
              <w:spacing w:after="0" w:line="240" w:lineRule="auto"/>
            </w:pPr>
            <w:r>
              <w:rPr>
                <w:sz w:val="18"/>
              </w:rPr>
              <w:t>8</w:t>
            </w:r>
          </w:p>
        </w:tc>
        <w:tc>
          <w:tcPr>
            <w:tcW w:w="1860" w:type="dxa"/>
            <w:tcMar>
              <w:top w:w="0" w:type="dxa"/>
              <w:bottom w:w="0" w:type="dxa"/>
            </w:tcMar>
            <w:vAlign w:val="center"/>
          </w:tcPr>
          <w:p w14:paraId="7143447F" w14:textId="77777777" w:rsidR="002A33E0" w:rsidRDefault="00000000">
            <w:pPr>
              <w:keepNext/>
              <w:keepLines/>
              <w:spacing w:after="0" w:line="240" w:lineRule="auto"/>
              <w:jc w:val="right"/>
            </w:pPr>
            <w:r>
              <w:rPr>
                <w:sz w:val="18"/>
              </w:rPr>
              <w:t>0,00</w:t>
            </w:r>
          </w:p>
        </w:tc>
        <w:tc>
          <w:tcPr>
            <w:tcW w:w="1860" w:type="dxa"/>
            <w:tcMar>
              <w:top w:w="0" w:type="dxa"/>
              <w:bottom w:w="0" w:type="dxa"/>
            </w:tcMar>
            <w:vAlign w:val="center"/>
          </w:tcPr>
          <w:p w14:paraId="3CA79DFE" w14:textId="77777777" w:rsidR="002A33E0" w:rsidRDefault="00000000">
            <w:pPr>
              <w:keepNext/>
              <w:keepLines/>
              <w:spacing w:after="0" w:line="240" w:lineRule="auto"/>
              <w:jc w:val="right"/>
            </w:pPr>
            <w:r>
              <w:rPr>
                <w:sz w:val="18"/>
              </w:rPr>
              <w:t>0,00</w:t>
            </w:r>
          </w:p>
        </w:tc>
        <w:tc>
          <w:tcPr>
            <w:tcW w:w="700" w:type="dxa"/>
            <w:tcMar>
              <w:top w:w="0" w:type="dxa"/>
              <w:bottom w:w="0" w:type="dxa"/>
            </w:tcMar>
            <w:vAlign w:val="center"/>
          </w:tcPr>
          <w:p w14:paraId="0564FBCF" w14:textId="77777777" w:rsidR="002A33E0" w:rsidRDefault="00000000">
            <w:pPr>
              <w:keepNext/>
              <w:keepLines/>
              <w:spacing w:after="0" w:line="240" w:lineRule="auto"/>
              <w:jc w:val="right"/>
            </w:pPr>
            <w:r>
              <w:rPr>
                <w:sz w:val="18"/>
              </w:rPr>
              <w:t>-</w:t>
            </w:r>
          </w:p>
        </w:tc>
      </w:tr>
      <w:tr w:rsidR="002A33E0" w14:paraId="11D54237" w14:textId="77777777">
        <w:tblPrEx>
          <w:tblCellMar>
            <w:top w:w="0" w:type="dxa"/>
            <w:bottom w:w="0" w:type="dxa"/>
          </w:tblCellMar>
        </w:tblPrEx>
        <w:trPr>
          <w:cantSplit/>
          <w:trHeight w:val="560"/>
        </w:trPr>
        <w:tc>
          <w:tcPr>
            <w:tcW w:w="700" w:type="dxa"/>
            <w:tcMar>
              <w:top w:w="0" w:type="dxa"/>
              <w:bottom w:w="0" w:type="dxa"/>
            </w:tcMar>
            <w:vAlign w:val="center"/>
          </w:tcPr>
          <w:p w14:paraId="051ED2F7" w14:textId="77777777" w:rsidR="002A33E0" w:rsidRDefault="00000000">
            <w:pPr>
              <w:keepNext/>
              <w:keepLines/>
              <w:spacing w:after="0" w:line="240" w:lineRule="auto"/>
            </w:pPr>
            <w:r>
              <w:rPr>
                <w:sz w:val="18"/>
              </w:rPr>
              <w:t>5</w:t>
            </w:r>
          </w:p>
        </w:tc>
        <w:tc>
          <w:tcPr>
            <w:tcW w:w="3180" w:type="dxa"/>
            <w:tcMar>
              <w:top w:w="0" w:type="dxa"/>
              <w:bottom w:w="0" w:type="dxa"/>
            </w:tcMar>
            <w:vAlign w:val="center"/>
          </w:tcPr>
          <w:p w14:paraId="0A8FFAB1" w14:textId="77777777" w:rsidR="002A33E0"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50910B2D" w14:textId="77777777" w:rsidR="002A33E0" w:rsidRDefault="00000000">
            <w:pPr>
              <w:keepNext/>
              <w:keepLines/>
              <w:spacing w:after="0" w:line="240" w:lineRule="auto"/>
            </w:pPr>
            <w:r>
              <w:rPr>
                <w:sz w:val="18"/>
              </w:rPr>
              <w:t>5</w:t>
            </w:r>
          </w:p>
        </w:tc>
        <w:tc>
          <w:tcPr>
            <w:tcW w:w="1860" w:type="dxa"/>
            <w:tcMar>
              <w:top w:w="0" w:type="dxa"/>
              <w:bottom w:w="0" w:type="dxa"/>
            </w:tcMar>
            <w:vAlign w:val="center"/>
          </w:tcPr>
          <w:p w14:paraId="6766A3FF" w14:textId="77777777" w:rsidR="002A33E0" w:rsidRDefault="00000000">
            <w:pPr>
              <w:keepNext/>
              <w:keepLines/>
              <w:spacing w:after="0" w:line="240" w:lineRule="auto"/>
              <w:jc w:val="right"/>
            </w:pPr>
            <w:r>
              <w:rPr>
                <w:sz w:val="18"/>
              </w:rPr>
              <w:t>0,00</w:t>
            </w:r>
          </w:p>
        </w:tc>
        <w:tc>
          <w:tcPr>
            <w:tcW w:w="1860" w:type="dxa"/>
            <w:tcMar>
              <w:top w:w="0" w:type="dxa"/>
              <w:bottom w:w="0" w:type="dxa"/>
            </w:tcMar>
            <w:vAlign w:val="center"/>
          </w:tcPr>
          <w:p w14:paraId="67AE67FE" w14:textId="77777777" w:rsidR="002A33E0" w:rsidRDefault="00000000">
            <w:pPr>
              <w:keepNext/>
              <w:keepLines/>
              <w:spacing w:after="0" w:line="240" w:lineRule="auto"/>
              <w:jc w:val="right"/>
            </w:pPr>
            <w:r>
              <w:rPr>
                <w:sz w:val="18"/>
              </w:rPr>
              <w:t>19.595,90</w:t>
            </w:r>
          </w:p>
        </w:tc>
        <w:tc>
          <w:tcPr>
            <w:tcW w:w="700" w:type="dxa"/>
            <w:tcMar>
              <w:top w:w="0" w:type="dxa"/>
              <w:bottom w:w="0" w:type="dxa"/>
            </w:tcMar>
            <w:vAlign w:val="center"/>
          </w:tcPr>
          <w:p w14:paraId="28D86CDE" w14:textId="77777777" w:rsidR="002A33E0" w:rsidRDefault="00000000">
            <w:pPr>
              <w:keepNext/>
              <w:keepLines/>
              <w:spacing w:after="0" w:line="240" w:lineRule="auto"/>
              <w:jc w:val="right"/>
            </w:pPr>
            <w:r>
              <w:rPr>
                <w:sz w:val="18"/>
              </w:rPr>
              <w:t>-</w:t>
            </w:r>
          </w:p>
        </w:tc>
      </w:tr>
      <w:tr w:rsidR="002A33E0" w14:paraId="6B065192" w14:textId="77777777">
        <w:tblPrEx>
          <w:tblCellMar>
            <w:top w:w="0" w:type="dxa"/>
            <w:bottom w:w="0" w:type="dxa"/>
          </w:tblCellMar>
        </w:tblPrEx>
        <w:trPr>
          <w:cantSplit/>
          <w:trHeight w:val="560"/>
        </w:trPr>
        <w:tc>
          <w:tcPr>
            <w:tcW w:w="700" w:type="dxa"/>
            <w:tcMar>
              <w:top w:w="0" w:type="dxa"/>
              <w:bottom w:w="0" w:type="dxa"/>
            </w:tcMar>
            <w:vAlign w:val="center"/>
          </w:tcPr>
          <w:p w14:paraId="3D59E8FC" w14:textId="77777777" w:rsidR="002A33E0" w:rsidRDefault="002A33E0">
            <w:pPr>
              <w:keepNext/>
              <w:keepLines/>
              <w:spacing w:after="0" w:line="240" w:lineRule="auto"/>
            </w:pPr>
          </w:p>
        </w:tc>
        <w:tc>
          <w:tcPr>
            <w:tcW w:w="3180" w:type="dxa"/>
            <w:tcMar>
              <w:top w:w="0" w:type="dxa"/>
              <w:bottom w:w="0" w:type="dxa"/>
            </w:tcMar>
            <w:vAlign w:val="center"/>
          </w:tcPr>
          <w:p w14:paraId="3D4BDD72" w14:textId="77777777" w:rsidR="002A33E0" w:rsidRDefault="00000000">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14:paraId="227B2659" w14:textId="77777777" w:rsidR="002A33E0" w:rsidRDefault="00000000">
            <w:pPr>
              <w:keepNext/>
              <w:keepLines/>
              <w:spacing w:after="0" w:line="240" w:lineRule="auto"/>
            </w:pPr>
            <w:r>
              <w:rPr>
                <w:b/>
                <w:sz w:val="18"/>
              </w:rPr>
              <w:t>Y003</w:t>
            </w:r>
          </w:p>
        </w:tc>
        <w:tc>
          <w:tcPr>
            <w:tcW w:w="1860" w:type="dxa"/>
            <w:tcMar>
              <w:top w:w="0" w:type="dxa"/>
              <w:bottom w:w="0" w:type="dxa"/>
            </w:tcMar>
            <w:vAlign w:val="center"/>
          </w:tcPr>
          <w:p w14:paraId="697AE631" w14:textId="77777777" w:rsidR="002A33E0" w:rsidRDefault="00000000">
            <w:pPr>
              <w:keepNext/>
              <w:keepLines/>
              <w:spacing w:after="0" w:line="240" w:lineRule="auto"/>
              <w:jc w:val="right"/>
            </w:pPr>
            <w:r>
              <w:rPr>
                <w:b/>
                <w:sz w:val="18"/>
              </w:rPr>
              <w:t>0,00</w:t>
            </w:r>
          </w:p>
        </w:tc>
        <w:tc>
          <w:tcPr>
            <w:tcW w:w="1860" w:type="dxa"/>
            <w:tcMar>
              <w:top w:w="0" w:type="dxa"/>
              <w:bottom w:w="0" w:type="dxa"/>
            </w:tcMar>
            <w:vAlign w:val="center"/>
          </w:tcPr>
          <w:p w14:paraId="2ADDD90B" w14:textId="77777777" w:rsidR="002A33E0" w:rsidRDefault="00000000">
            <w:pPr>
              <w:keepNext/>
              <w:keepLines/>
              <w:spacing w:after="0" w:line="240" w:lineRule="auto"/>
              <w:jc w:val="right"/>
            </w:pPr>
            <w:r>
              <w:rPr>
                <w:b/>
                <w:sz w:val="18"/>
              </w:rPr>
              <w:t>19.595,90</w:t>
            </w:r>
          </w:p>
        </w:tc>
        <w:tc>
          <w:tcPr>
            <w:tcW w:w="700" w:type="dxa"/>
            <w:tcMar>
              <w:top w:w="0" w:type="dxa"/>
              <w:bottom w:w="0" w:type="dxa"/>
            </w:tcMar>
            <w:vAlign w:val="center"/>
          </w:tcPr>
          <w:p w14:paraId="1BDC3C69" w14:textId="77777777" w:rsidR="002A33E0" w:rsidRDefault="00000000">
            <w:pPr>
              <w:keepNext/>
              <w:keepLines/>
              <w:spacing w:after="0" w:line="240" w:lineRule="auto"/>
              <w:jc w:val="right"/>
            </w:pPr>
            <w:r>
              <w:rPr>
                <w:b/>
                <w:sz w:val="18"/>
              </w:rPr>
              <w:t>-</w:t>
            </w:r>
          </w:p>
        </w:tc>
      </w:tr>
      <w:tr w:rsidR="002A33E0" w14:paraId="0C512732" w14:textId="77777777">
        <w:tblPrEx>
          <w:tblCellMar>
            <w:top w:w="0" w:type="dxa"/>
            <w:bottom w:w="0" w:type="dxa"/>
          </w:tblCellMar>
        </w:tblPrEx>
        <w:trPr>
          <w:cantSplit/>
          <w:trHeight w:val="560"/>
        </w:trPr>
        <w:tc>
          <w:tcPr>
            <w:tcW w:w="700" w:type="dxa"/>
            <w:tcMar>
              <w:top w:w="0" w:type="dxa"/>
              <w:bottom w:w="0" w:type="dxa"/>
            </w:tcMar>
            <w:vAlign w:val="center"/>
          </w:tcPr>
          <w:p w14:paraId="6C744E8A" w14:textId="77777777" w:rsidR="002A33E0" w:rsidRDefault="002A33E0">
            <w:pPr>
              <w:keepNext/>
              <w:keepLines/>
              <w:spacing w:after="0" w:line="240" w:lineRule="auto"/>
            </w:pPr>
          </w:p>
        </w:tc>
        <w:tc>
          <w:tcPr>
            <w:tcW w:w="3180" w:type="dxa"/>
            <w:tcMar>
              <w:top w:w="0" w:type="dxa"/>
              <w:bottom w:w="0" w:type="dxa"/>
            </w:tcMar>
            <w:vAlign w:val="center"/>
          </w:tcPr>
          <w:p w14:paraId="44F5F1C1" w14:textId="77777777" w:rsidR="002A33E0"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2A484910" w14:textId="77777777" w:rsidR="002A33E0" w:rsidRDefault="00000000">
            <w:pPr>
              <w:keepNext/>
              <w:keepLines/>
              <w:spacing w:after="0" w:line="240" w:lineRule="auto"/>
            </w:pPr>
            <w:r>
              <w:rPr>
                <w:b/>
                <w:sz w:val="18"/>
              </w:rPr>
              <w:t>Y005</w:t>
            </w:r>
          </w:p>
        </w:tc>
        <w:tc>
          <w:tcPr>
            <w:tcW w:w="1860" w:type="dxa"/>
            <w:tcMar>
              <w:top w:w="0" w:type="dxa"/>
              <w:bottom w:w="0" w:type="dxa"/>
            </w:tcMar>
            <w:vAlign w:val="center"/>
          </w:tcPr>
          <w:p w14:paraId="3227BD62" w14:textId="77777777" w:rsidR="002A33E0" w:rsidRDefault="00000000">
            <w:pPr>
              <w:keepNext/>
              <w:keepLines/>
              <w:spacing w:after="0" w:line="240" w:lineRule="auto"/>
              <w:jc w:val="right"/>
            </w:pPr>
            <w:r>
              <w:rPr>
                <w:b/>
                <w:sz w:val="18"/>
              </w:rPr>
              <w:t>0,00</w:t>
            </w:r>
          </w:p>
        </w:tc>
        <w:tc>
          <w:tcPr>
            <w:tcW w:w="1860" w:type="dxa"/>
            <w:tcMar>
              <w:top w:w="0" w:type="dxa"/>
              <w:bottom w:w="0" w:type="dxa"/>
            </w:tcMar>
            <w:vAlign w:val="center"/>
          </w:tcPr>
          <w:p w14:paraId="399938E3" w14:textId="77777777" w:rsidR="002A33E0" w:rsidRDefault="00000000">
            <w:pPr>
              <w:keepNext/>
              <w:keepLines/>
              <w:spacing w:after="0" w:line="240" w:lineRule="auto"/>
              <w:jc w:val="right"/>
            </w:pPr>
            <w:r>
              <w:rPr>
                <w:b/>
                <w:sz w:val="18"/>
              </w:rPr>
              <w:t>1.152.143,41</w:t>
            </w:r>
          </w:p>
        </w:tc>
        <w:tc>
          <w:tcPr>
            <w:tcW w:w="700" w:type="dxa"/>
            <w:tcMar>
              <w:top w:w="0" w:type="dxa"/>
              <w:bottom w:w="0" w:type="dxa"/>
            </w:tcMar>
            <w:vAlign w:val="center"/>
          </w:tcPr>
          <w:p w14:paraId="46281F9A" w14:textId="77777777" w:rsidR="002A33E0" w:rsidRDefault="00000000">
            <w:pPr>
              <w:keepNext/>
              <w:keepLines/>
              <w:spacing w:after="0" w:line="240" w:lineRule="auto"/>
              <w:jc w:val="right"/>
            </w:pPr>
            <w:r>
              <w:rPr>
                <w:b/>
                <w:sz w:val="18"/>
              </w:rPr>
              <w:t>-</w:t>
            </w:r>
          </w:p>
        </w:tc>
      </w:tr>
    </w:tbl>
    <w:p w14:paraId="2059713F" w14:textId="77777777" w:rsidR="002A33E0" w:rsidRDefault="002A33E0">
      <w:pPr>
        <w:spacing w:after="0"/>
      </w:pPr>
    </w:p>
    <w:p w14:paraId="225A4DB0" w14:textId="77777777" w:rsidR="002A33E0" w:rsidRDefault="00000000">
      <w:pPr>
        <w:spacing w:line="240" w:lineRule="auto"/>
        <w:jc w:val="both"/>
      </w:pPr>
      <w:r>
        <w:t xml:space="preserve">Tokom izvještajnog razdoblja ostvareni su ukupni prihodi poslovanja (šifra 6) u iznosu od 1.466.011,62 EUR (13,80% više u odnosu na isto razdoblje prethodne godine) dok su izvršeni ukupni rashod poslovanja (šifra 3) u iznosu od 1.303.017,31 EUR (67,10% više u odnosu na isto razdoblje prethodne godine)iz čega proizlazi da je ostvaren višak prihoda poslovanja u iznosu od 162.994,31 EUR.   Ostvaren je i manjak prihoda od nefinancijske imovine zbog toga što su rashodi za nabavu nefinancijske imovine doživjela značajan porast u izvještajnom razdoblju dok su prihodi od prodaje nefinancijske imovine ostvareni značajno manji od </w:t>
      </w:r>
      <w:r>
        <w:lastRenderedPageBreak/>
        <w:t>planiranih.   U izvještajnom razdoblju nisu ostvareni primici od financijske imovine i zaduživanja dok su izvršeni izdaci za financijsku imovinu i otplate zajmova u iznosu od 19.595,90 EUR.   U izvještajnom razdoblju ostvaren je manjak prihoda i primitaka u iznosu od 1.152.143,41 EUR.</w:t>
      </w:r>
    </w:p>
    <w:p w14:paraId="7D631D92" w14:textId="77777777" w:rsidR="002A33E0" w:rsidRDefault="00000000">
      <w:r>
        <w:br/>
      </w:r>
    </w:p>
    <w:p w14:paraId="5E725290" w14:textId="77777777" w:rsidR="002A33E0"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A33E0" w14:paraId="48D7531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2D64723" w14:textId="77777777" w:rsidR="002A33E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73E7F9" w14:textId="77777777" w:rsidR="002A33E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9728A0" w14:textId="77777777" w:rsidR="002A33E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FE74EA" w14:textId="77777777" w:rsidR="002A33E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D81956" w14:textId="77777777" w:rsidR="002A33E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050DA66" w14:textId="77777777" w:rsidR="002A33E0" w:rsidRDefault="00000000">
            <w:pPr>
              <w:keepNext/>
              <w:keepLines/>
              <w:spacing w:after="0" w:line="240" w:lineRule="auto"/>
              <w:jc w:val="center"/>
            </w:pPr>
            <w:r>
              <w:rPr>
                <w:b/>
                <w:sz w:val="18"/>
              </w:rPr>
              <w:t>Indeks (%)</w:t>
            </w:r>
          </w:p>
        </w:tc>
      </w:tr>
      <w:tr w:rsidR="002A33E0" w14:paraId="5CD4991C" w14:textId="77777777">
        <w:tblPrEx>
          <w:tblCellMar>
            <w:top w:w="0" w:type="dxa"/>
            <w:bottom w:w="0" w:type="dxa"/>
          </w:tblCellMar>
        </w:tblPrEx>
        <w:trPr>
          <w:cantSplit/>
          <w:trHeight w:val="560"/>
        </w:trPr>
        <w:tc>
          <w:tcPr>
            <w:tcW w:w="700" w:type="dxa"/>
            <w:tcMar>
              <w:top w:w="0" w:type="dxa"/>
              <w:bottom w:w="0" w:type="dxa"/>
            </w:tcMar>
            <w:vAlign w:val="center"/>
          </w:tcPr>
          <w:p w14:paraId="079BA9F9" w14:textId="77777777" w:rsidR="002A33E0" w:rsidRDefault="00000000">
            <w:pPr>
              <w:keepNext/>
              <w:keepLines/>
              <w:spacing w:after="0" w:line="240" w:lineRule="auto"/>
            </w:pPr>
            <w:r>
              <w:rPr>
                <w:sz w:val="18"/>
              </w:rPr>
              <w:t>6</w:t>
            </w:r>
          </w:p>
        </w:tc>
        <w:tc>
          <w:tcPr>
            <w:tcW w:w="3180" w:type="dxa"/>
            <w:tcMar>
              <w:top w:w="0" w:type="dxa"/>
              <w:bottom w:w="0" w:type="dxa"/>
            </w:tcMar>
            <w:vAlign w:val="center"/>
          </w:tcPr>
          <w:p w14:paraId="79D4584C" w14:textId="77777777" w:rsidR="002A33E0"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624C4734" w14:textId="77777777" w:rsidR="002A33E0" w:rsidRDefault="00000000">
            <w:pPr>
              <w:keepNext/>
              <w:keepLines/>
              <w:spacing w:after="0" w:line="240" w:lineRule="auto"/>
            </w:pPr>
            <w:r>
              <w:rPr>
                <w:sz w:val="18"/>
              </w:rPr>
              <w:t>6</w:t>
            </w:r>
          </w:p>
        </w:tc>
        <w:tc>
          <w:tcPr>
            <w:tcW w:w="1860" w:type="dxa"/>
            <w:tcMar>
              <w:top w:w="0" w:type="dxa"/>
              <w:bottom w:w="0" w:type="dxa"/>
            </w:tcMar>
            <w:vAlign w:val="center"/>
          </w:tcPr>
          <w:p w14:paraId="23548FCD" w14:textId="77777777" w:rsidR="002A33E0" w:rsidRDefault="00000000">
            <w:pPr>
              <w:keepNext/>
              <w:keepLines/>
              <w:spacing w:after="0" w:line="240" w:lineRule="auto"/>
              <w:jc w:val="right"/>
            </w:pPr>
            <w:r>
              <w:rPr>
                <w:sz w:val="18"/>
              </w:rPr>
              <w:t>1.288.221,21</w:t>
            </w:r>
          </w:p>
        </w:tc>
        <w:tc>
          <w:tcPr>
            <w:tcW w:w="1860" w:type="dxa"/>
            <w:tcMar>
              <w:top w:w="0" w:type="dxa"/>
              <w:bottom w:w="0" w:type="dxa"/>
            </w:tcMar>
            <w:vAlign w:val="center"/>
          </w:tcPr>
          <w:p w14:paraId="7E1D7340" w14:textId="77777777" w:rsidR="002A33E0" w:rsidRDefault="00000000">
            <w:pPr>
              <w:keepNext/>
              <w:keepLines/>
              <w:spacing w:after="0" w:line="240" w:lineRule="auto"/>
              <w:jc w:val="right"/>
            </w:pPr>
            <w:r>
              <w:rPr>
                <w:sz w:val="18"/>
              </w:rPr>
              <w:t>1.466.011,62</w:t>
            </w:r>
          </w:p>
        </w:tc>
        <w:tc>
          <w:tcPr>
            <w:tcW w:w="700" w:type="dxa"/>
            <w:tcMar>
              <w:top w:w="0" w:type="dxa"/>
              <w:bottom w:w="0" w:type="dxa"/>
            </w:tcMar>
            <w:vAlign w:val="center"/>
          </w:tcPr>
          <w:p w14:paraId="4ADB5EE7" w14:textId="77777777" w:rsidR="002A33E0" w:rsidRDefault="00000000">
            <w:pPr>
              <w:keepNext/>
              <w:keepLines/>
              <w:spacing w:after="0" w:line="240" w:lineRule="auto"/>
              <w:jc w:val="right"/>
            </w:pPr>
            <w:r>
              <w:rPr>
                <w:sz w:val="18"/>
              </w:rPr>
              <w:t>113,8</w:t>
            </w:r>
          </w:p>
        </w:tc>
      </w:tr>
    </w:tbl>
    <w:p w14:paraId="6302B52A" w14:textId="77777777" w:rsidR="002A33E0" w:rsidRDefault="002A33E0">
      <w:pPr>
        <w:spacing w:after="0"/>
      </w:pPr>
    </w:p>
    <w:p w14:paraId="79ECFEF8" w14:textId="77777777" w:rsidR="002A33E0" w:rsidRDefault="00000000">
      <w:pPr>
        <w:spacing w:line="240" w:lineRule="auto"/>
        <w:jc w:val="both"/>
      </w:pPr>
      <w:r>
        <w:t>Prihodi poslovanja ostvareni su u iznosu  1.466.001,62 EUR što je za 13,80 % više u odnosu na isto razdoblje 2024. godine.</w:t>
      </w:r>
    </w:p>
    <w:p w14:paraId="13FE73D2" w14:textId="77777777" w:rsidR="002A33E0" w:rsidRDefault="002A33E0"/>
    <w:p w14:paraId="23ADFF5B" w14:textId="77777777" w:rsidR="002A33E0"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A33E0" w14:paraId="7D690EA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2A0525" w14:textId="77777777" w:rsidR="002A33E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145A66" w14:textId="77777777" w:rsidR="002A33E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DCBB7E" w14:textId="77777777" w:rsidR="002A33E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11B2B5" w14:textId="77777777" w:rsidR="002A33E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C018CBD" w14:textId="77777777" w:rsidR="002A33E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2811757" w14:textId="77777777" w:rsidR="002A33E0" w:rsidRDefault="00000000">
            <w:pPr>
              <w:keepNext/>
              <w:keepLines/>
              <w:spacing w:after="0" w:line="240" w:lineRule="auto"/>
              <w:jc w:val="center"/>
            </w:pPr>
            <w:r>
              <w:rPr>
                <w:b/>
                <w:sz w:val="18"/>
              </w:rPr>
              <w:t>Indeks (%)</w:t>
            </w:r>
          </w:p>
        </w:tc>
      </w:tr>
      <w:tr w:rsidR="002A33E0" w14:paraId="0E5F263A" w14:textId="77777777">
        <w:tblPrEx>
          <w:tblCellMar>
            <w:top w:w="0" w:type="dxa"/>
            <w:bottom w:w="0" w:type="dxa"/>
          </w:tblCellMar>
        </w:tblPrEx>
        <w:trPr>
          <w:cantSplit/>
          <w:trHeight w:val="560"/>
        </w:trPr>
        <w:tc>
          <w:tcPr>
            <w:tcW w:w="700" w:type="dxa"/>
            <w:tcMar>
              <w:top w:w="0" w:type="dxa"/>
              <w:bottom w:w="0" w:type="dxa"/>
            </w:tcMar>
            <w:vAlign w:val="center"/>
          </w:tcPr>
          <w:p w14:paraId="42637F99" w14:textId="77777777" w:rsidR="002A33E0" w:rsidRDefault="00000000">
            <w:pPr>
              <w:keepNext/>
              <w:keepLines/>
              <w:spacing w:after="0" w:line="240" w:lineRule="auto"/>
            </w:pPr>
            <w:r>
              <w:rPr>
                <w:sz w:val="18"/>
              </w:rPr>
              <w:t>61</w:t>
            </w:r>
          </w:p>
        </w:tc>
        <w:tc>
          <w:tcPr>
            <w:tcW w:w="3180" w:type="dxa"/>
            <w:tcMar>
              <w:top w:w="0" w:type="dxa"/>
              <w:bottom w:w="0" w:type="dxa"/>
            </w:tcMar>
            <w:vAlign w:val="center"/>
          </w:tcPr>
          <w:p w14:paraId="7E22D823" w14:textId="77777777" w:rsidR="002A33E0" w:rsidRDefault="00000000">
            <w:pPr>
              <w:keepNext/>
              <w:keepLines/>
              <w:spacing w:after="0" w:line="240" w:lineRule="auto"/>
            </w:pPr>
            <w:r>
              <w:rPr>
                <w:sz w:val="18"/>
              </w:rPr>
              <w:t>Prihodi od poreza (šifre 611+612+613+614+615+616)</w:t>
            </w:r>
          </w:p>
        </w:tc>
        <w:tc>
          <w:tcPr>
            <w:tcW w:w="700" w:type="dxa"/>
            <w:tcMar>
              <w:top w:w="0" w:type="dxa"/>
              <w:bottom w:w="0" w:type="dxa"/>
            </w:tcMar>
            <w:vAlign w:val="center"/>
          </w:tcPr>
          <w:p w14:paraId="19CAA277" w14:textId="77777777" w:rsidR="002A33E0" w:rsidRDefault="00000000">
            <w:pPr>
              <w:keepNext/>
              <w:keepLines/>
              <w:spacing w:after="0" w:line="240" w:lineRule="auto"/>
            </w:pPr>
            <w:r>
              <w:rPr>
                <w:sz w:val="18"/>
              </w:rPr>
              <w:t>61</w:t>
            </w:r>
          </w:p>
        </w:tc>
        <w:tc>
          <w:tcPr>
            <w:tcW w:w="1860" w:type="dxa"/>
            <w:tcMar>
              <w:top w:w="0" w:type="dxa"/>
              <w:bottom w:w="0" w:type="dxa"/>
            </w:tcMar>
            <w:vAlign w:val="center"/>
          </w:tcPr>
          <w:p w14:paraId="0DC76A81" w14:textId="77777777" w:rsidR="002A33E0" w:rsidRDefault="00000000">
            <w:pPr>
              <w:keepNext/>
              <w:keepLines/>
              <w:spacing w:after="0" w:line="240" w:lineRule="auto"/>
              <w:jc w:val="right"/>
            </w:pPr>
            <w:r>
              <w:rPr>
                <w:sz w:val="18"/>
              </w:rPr>
              <w:t>771.203,85</w:t>
            </w:r>
          </w:p>
        </w:tc>
        <w:tc>
          <w:tcPr>
            <w:tcW w:w="1860" w:type="dxa"/>
            <w:tcMar>
              <w:top w:w="0" w:type="dxa"/>
              <w:bottom w:w="0" w:type="dxa"/>
            </w:tcMar>
            <w:vAlign w:val="center"/>
          </w:tcPr>
          <w:p w14:paraId="364D7DFA" w14:textId="77777777" w:rsidR="002A33E0" w:rsidRDefault="00000000">
            <w:pPr>
              <w:keepNext/>
              <w:keepLines/>
              <w:spacing w:after="0" w:line="240" w:lineRule="auto"/>
              <w:jc w:val="right"/>
            </w:pPr>
            <w:r>
              <w:rPr>
                <w:sz w:val="18"/>
              </w:rPr>
              <w:t>800.936,64</w:t>
            </w:r>
          </w:p>
        </w:tc>
        <w:tc>
          <w:tcPr>
            <w:tcW w:w="700" w:type="dxa"/>
            <w:tcMar>
              <w:top w:w="0" w:type="dxa"/>
              <w:bottom w:w="0" w:type="dxa"/>
            </w:tcMar>
            <w:vAlign w:val="center"/>
          </w:tcPr>
          <w:p w14:paraId="55E6B29D" w14:textId="77777777" w:rsidR="002A33E0" w:rsidRDefault="00000000">
            <w:pPr>
              <w:keepNext/>
              <w:keepLines/>
              <w:spacing w:after="0" w:line="240" w:lineRule="auto"/>
              <w:jc w:val="right"/>
            </w:pPr>
            <w:r>
              <w:rPr>
                <w:sz w:val="18"/>
              </w:rPr>
              <w:t>103,9</w:t>
            </w:r>
          </w:p>
        </w:tc>
      </w:tr>
    </w:tbl>
    <w:p w14:paraId="734A35D7" w14:textId="77777777" w:rsidR="002A33E0" w:rsidRDefault="002A33E0">
      <w:pPr>
        <w:spacing w:after="0"/>
      </w:pPr>
    </w:p>
    <w:p w14:paraId="010070D8" w14:textId="77777777" w:rsidR="002A33E0" w:rsidRDefault="00000000">
      <w:pPr>
        <w:spacing w:line="240" w:lineRule="auto"/>
        <w:jc w:val="both"/>
      </w:pPr>
      <w:r>
        <w:t>- Prihodi od poreza (šifra 61) ostvareni su u iznosu od 800.936,64 EUR što je za 3,90 % više u odnosu na isto razdoblje 2024. godine. Prihodi od poreza ostvareni su kako slijedi: • Porez na dohodak u iznosu od 520.741,61 EUR, • Porez na imovinu u iznosu od 277.208,86 EUR, • Porez na robu i usluge u iznosu od 2.986,17 EUR.  Najznačajnije povećanje bilježi se kod prihoda od poreza na dohodak što je izravna posljedica promjene porezne politike te porata plaća u odnosu na početak 2024. godine. Prihodi od poreza na imovinu, točnije povremenih poreza na imovinu su manji za 22,10 %, što je uglavnom rezultat manjeg ostvarenja poreza na prometa nekretninama u odnosu na prethodnu godinu.</w:t>
      </w:r>
    </w:p>
    <w:p w14:paraId="08F5CC23" w14:textId="77777777" w:rsidR="002A33E0" w:rsidRDefault="002A33E0"/>
    <w:p w14:paraId="58A520FF" w14:textId="77777777" w:rsidR="002A33E0"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A33E0" w14:paraId="0D2AAB9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EFCA83" w14:textId="77777777" w:rsidR="002A33E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738ED16" w14:textId="77777777" w:rsidR="002A33E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EC5B9A" w14:textId="77777777" w:rsidR="002A33E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831177" w14:textId="77777777" w:rsidR="002A33E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41D8FF" w14:textId="77777777" w:rsidR="002A33E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2E9583" w14:textId="77777777" w:rsidR="002A33E0" w:rsidRDefault="00000000">
            <w:pPr>
              <w:keepNext/>
              <w:keepLines/>
              <w:spacing w:after="0" w:line="240" w:lineRule="auto"/>
              <w:jc w:val="center"/>
            </w:pPr>
            <w:r>
              <w:rPr>
                <w:b/>
                <w:sz w:val="18"/>
              </w:rPr>
              <w:t>Indeks (%)</w:t>
            </w:r>
          </w:p>
        </w:tc>
      </w:tr>
      <w:tr w:rsidR="002A33E0" w14:paraId="434A752D" w14:textId="77777777">
        <w:tblPrEx>
          <w:tblCellMar>
            <w:top w:w="0" w:type="dxa"/>
            <w:bottom w:w="0" w:type="dxa"/>
          </w:tblCellMar>
        </w:tblPrEx>
        <w:trPr>
          <w:cantSplit/>
          <w:trHeight w:val="560"/>
        </w:trPr>
        <w:tc>
          <w:tcPr>
            <w:tcW w:w="700" w:type="dxa"/>
            <w:tcMar>
              <w:top w:w="0" w:type="dxa"/>
              <w:bottom w:w="0" w:type="dxa"/>
            </w:tcMar>
            <w:vAlign w:val="center"/>
          </w:tcPr>
          <w:p w14:paraId="39049F82" w14:textId="77777777" w:rsidR="002A33E0" w:rsidRDefault="00000000">
            <w:pPr>
              <w:keepNext/>
              <w:keepLines/>
              <w:spacing w:after="0" w:line="240" w:lineRule="auto"/>
            </w:pPr>
            <w:r>
              <w:rPr>
                <w:sz w:val="18"/>
              </w:rPr>
              <w:t>63</w:t>
            </w:r>
          </w:p>
        </w:tc>
        <w:tc>
          <w:tcPr>
            <w:tcW w:w="3180" w:type="dxa"/>
            <w:tcMar>
              <w:top w:w="0" w:type="dxa"/>
              <w:bottom w:w="0" w:type="dxa"/>
            </w:tcMar>
            <w:vAlign w:val="center"/>
          </w:tcPr>
          <w:p w14:paraId="01682329" w14:textId="77777777" w:rsidR="002A33E0" w:rsidRDefault="00000000">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131982B6" w14:textId="77777777" w:rsidR="002A33E0" w:rsidRDefault="00000000">
            <w:pPr>
              <w:keepNext/>
              <w:keepLines/>
              <w:spacing w:after="0" w:line="240" w:lineRule="auto"/>
            </w:pPr>
            <w:r>
              <w:rPr>
                <w:sz w:val="18"/>
              </w:rPr>
              <w:t>63</w:t>
            </w:r>
          </w:p>
        </w:tc>
        <w:tc>
          <w:tcPr>
            <w:tcW w:w="1860" w:type="dxa"/>
            <w:tcMar>
              <w:top w:w="0" w:type="dxa"/>
              <w:bottom w:w="0" w:type="dxa"/>
            </w:tcMar>
            <w:vAlign w:val="center"/>
          </w:tcPr>
          <w:p w14:paraId="54B8370A" w14:textId="77777777" w:rsidR="002A33E0" w:rsidRDefault="00000000">
            <w:pPr>
              <w:keepNext/>
              <w:keepLines/>
              <w:spacing w:after="0" w:line="240" w:lineRule="auto"/>
              <w:jc w:val="right"/>
            </w:pPr>
            <w:r>
              <w:rPr>
                <w:sz w:val="18"/>
              </w:rPr>
              <w:t>301.774,38</w:t>
            </w:r>
          </w:p>
        </w:tc>
        <w:tc>
          <w:tcPr>
            <w:tcW w:w="1860" w:type="dxa"/>
            <w:tcMar>
              <w:top w:w="0" w:type="dxa"/>
              <w:bottom w:w="0" w:type="dxa"/>
            </w:tcMar>
            <w:vAlign w:val="center"/>
          </w:tcPr>
          <w:p w14:paraId="3A246572" w14:textId="77777777" w:rsidR="002A33E0" w:rsidRDefault="00000000">
            <w:pPr>
              <w:keepNext/>
              <w:keepLines/>
              <w:spacing w:after="0" w:line="240" w:lineRule="auto"/>
              <w:jc w:val="right"/>
            </w:pPr>
            <w:r>
              <w:rPr>
                <w:sz w:val="18"/>
              </w:rPr>
              <w:t>485.494,01</w:t>
            </w:r>
          </w:p>
        </w:tc>
        <w:tc>
          <w:tcPr>
            <w:tcW w:w="700" w:type="dxa"/>
            <w:tcMar>
              <w:top w:w="0" w:type="dxa"/>
              <w:bottom w:w="0" w:type="dxa"/>
            </w:tcMar>
            <w:vAlign w:val="center"/>
          </w:tcPr>
          <w:p w14:paraId="21548A4D" w14:textId="77777777" w:rsidR="002A33E0" w:rsidRDefault="00000000">
            <w:pPr>
              <w:keepNext/>
              <w:keepLines/>
              <w:spacing w:after="0" w:line="240" w:lineRule="auto"/>
              <w:jc w:val="right"/>
            </w:pPr>
            <w:r>
              <w:rPr>
                <w:sz w:val="18"/>
              </w:rPr>
              <w:t>160,9</w:t>
            </w:r>
          </w:p>
        </w:tc>
      </w:tr>
    </w:tbl>
    <w:p w14:paraId="1A7E2AF3" w14:textId="77777777" w:rsidR="002A33E0" w:rsidRDefault="002A33E0">
      <w:pPr>
        <w:spacing w:after="0"/>
      </w:pPr>
    </w:p>
    <w:p w14:paraId="75425975" w14:textId="77777777" w:rsidR="002A33E0" w:rsidRDefault="00000000">
      <w:pPr>
        <w:spacing w:line="240" w:lineRule="auto"/>
        <w:jc w:val="both"/>
      </w:pPr>
      <w:r>
        <w:t xml:space="preserve">Pomoći iz inozemstva i od subjekata unutar općeg proračuna (šifra 63) ostvarene su u iznosu od 485.494,01 EUR što je za 60,90 % više u odnosu na isto razdoblje prethodne godine. Ova vrsta prihoda ostvarena je kako slijedi: • Pomoći proračunu iz drugih proračuna u iznosu od 273.064,56 EUR, • Pomoći temeljem prijenosa EU sredstava u iznosu od 212.429,45 EUR.  Ostvareni su značajno veći prihodi od kapitalnih pomoću proračunu iz drugih proračuna u </w:t>
      </w:r>
      <w:r>
        <w:lastRenderedPageBreak/>
        <w:t>odnosu na isto razdoblje 2024. godine kada uopće nije bilo ostvarenja ove vrste prihoda. Kod ostalih podskupina ostvarenje je na razini istog razdoblja prethodne godine.</w:t>
      </w:r>
    </w:p>
    <w:p w14:paraId="0D6ECBA7" w14:textId="77777777" w:rsidR="002A33E0" w:rsidRDefault="002A33E0"/>
    <w:p w14:paraId="6E8779BE" w14:textId="77777777" w:rsidR="002A33E0"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A33E0" w14:paraId="223975A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565114" w14:textId="77777777" w:rsidR="002A33E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0714B33" w14:textId="77777777" w:rsidR="002A33E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5EC2B1" w14:textId="77777777" w:rsidR="002A33E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5FA7A4" w14:textId="77777777" w:rsidR="002A33E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AEFFEB" w14:textId="77777777" w:rsidR="002A33E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B9C9CD5" w14:textId="77777777" w:rsidR="002A33E0" w:rsidRDefault="00000000">
            <w:pPr>
              <w:keepNext/>
              <w:keepLines/>
              <w:spacing w:after="0" w:line="240" w:lineRule="auto"/>
              <w:jc w:val="center"/>
            </w:pPr>
            <w:r>
              <w:rPr>
                <w:b/>
                <w:sz w:val="18"/>
              </w:rPr>
              <w:t>Indeks (%)</w:t>
            </w:r>
          </w:p>
        </w:tc>
      </w:tr>
      <w:tr w:rsidR="002A33E0" w14:paraId="43339976" w14:textId="77777777">
        <w:tblPrEx>
          <w:tblCellMar>
            <w:top w:w="0" w:type="dxa"/>
            <w:bottom w:w="0" w:type="dxa"/>
          </w:tblCellMar>
        </w:tblPrEx>
        <w:trPr>
          <w:cantSplit/>
          <w:trHeight w:val="560"/>
        </w:trPr>
        <w:tc>
          <w:tcPr>
            <w:tcW w:w="700" w:type="dxa"/>
            <w:tcMar>
              <w:top w:w="0" w:type="dxa"/>
              <w:bottom w:w="0" w:type="dxa"/>
            </w:tcMar>
            <w:vAlign w:val="center"/>
          </w:tcPr>
          <w:p w14:paraId="1162DB63" w14:textId="77777777" w:rsidR="002A33E0" w:rsidRDefault="00000000">
            <w:pPr>
              <w:keepNext/>
              <w:keepLines/>
              <w:spacing w:after="0" w:line="240" w:lineRule="auto"/>
            </w:pPr>
            <w:r>
              <w:rPr>
                <w:sz w:val="18"/>
              </w:rPr>
              <w:t>64</w:t>
            </w:r>
          </w:p>
        </w:tc>
        <w:tc>
          <w:tcPr>
            <w:tcW w:w="3180" w:type="dxa"/>
            <w:tcMar>
              <w:top w:w="0" w:type="dxa"/>
              <w:bottom w:w="0" w:type="dxa"/>
            </w:tcMar>
            <w:vAlign w:val="center"/>
          </w:tcPr>
          <w:p w14:paraId="18873165" w14:textId="77777777" w:rsidR="002A33E0" w:rsidRDefault="00000000">
            <w:pPr>
              <w:keepNext/>
              <w:keepLines/>
              <w:spacing w:after="0" w:line="240" w:lineRule="auto"/>
            </w:pPr>
            <w:r>
              <w:rPr>
                <w:sz w:val="18"/>
              </w:rPr>
              <w:t>Prihodi od imovine (šifre 641+642+643)</w:t>
            </w:r>
          </w:p>
        </w:tc>
        <w:tc>
          <w:tcPr>
            <w:tcW w:w="700" w:type="dxa"/>
            <w:tcMar>
              <w:top w:w="0" w:type="dxa"/>
              <w:bottom w:w="0" w:type="dxa"/>
            </w:tcMar>
            <w:vAlign w:val="center"/>
          </w:tcPr>
          <w:p w14:paraId="157EADA9" w14:textId="77777777" w:rsidR="002A33E0" w:rsidRDefault="00000000">
            <w:pPr>
              <w:keepNext/>
              <w:keepLines/>
              <w:spacing w:after="0" w:line="240" w:lineRule="auto"/>
            </w:pPr>
            <w:r>
              <w:rPr>
                <w:sz w:val="18"/>
              </w:rPr>
              <w:t>64</w:t>
            </w:r>
          </w:p>
        </w:tc>
        <w:tc>
          <w:tcPr>
            <w:tcW w:w="1860" w:type="dxa"/>
            <w:tcMar>
              <w:top w:w="0" w:type="dxa"/>
              <w:bottom w:w="0" w:type="dxa"/>
            </w:tcMar>
            <w:vAlign w:val="center"/>
          </w:tcPr>
          <w:p w14:paraId="37D8E830" w14:textId="77777777" w:rsidR="002A33E0" w:rsidRDefault="00000000">
            <w:pPr>
              <w:keepNext/>
              <w:keepLines/>
              <w:spacing w:after="0" w:line="240" w:lineRule="auto"/>
              <w:jc w:val="right"/>
            </w:pPr>
            <w:r>
              <w:rPr>
                <w:sz w:val="18"/>
              </w:rPr>
              <w:t>18.269,95</w:t>
            </w:r>
          </w:p>
        </w:tc>
        <w:tc>
          <w:tcPr>
            <w:tcW w:w="1860" w:type="dxa"/>
            <w:tcMar>
              <w:top w:w="0" w:type="dxa"/>
              <w:bottom w:w="0" w:type="dxa"/>
            </w:tcMar>
            <w:vAlign w:val="center"/>
          </w:tcPr>
          <w:p w14:paraId="17505155" w14:textId="77777777" w:rsidR="002A33E0" w:rsidRDefault="00000000">
            <w:pPr>
              <w:keepNext/>
              <w:keepLines/>
              <w:spacing w:after="0" w:line="240" w:lineRule="auto"/>
              <w:jc w:val="right"/>
            </w:pPr>
            <w:r>
              <w:rPr>
                <w:sz w:val="18"/>
              </w:rPr>
              <w:t>20.715,32</w:t>
            </w:r>
          </w:p>
        </w:tc>
        <w:tc>
          <w:tcPr>
            <w:tcW w:w="700" w:type="dxa"/>
            <w:tcMar>
              <w:top w:w="0" w:type="dxa"/>
              <w:bottom w:w="0" w:type="dxa"/>
            </w:tcMar>
            <w:vAlign w:val="center"/>
          </w:tcPr>
          <w:p w14:paraId="7F4CDFD3" w14:textId="77777777" w:rsidR="002A33E0" w:rsidRDefault="00000000">
            <w:pPr>
              <w:keepNext/>
              <w:keepLines/>
              <w:spacing w:after="0" w:line="240" w:lineRule="auto"/>
              <w:jc w:val="right"/>
            </w:pPr>
            <w:r>
              <w:rPr>
                <w:sz w:val="18"/>
              </w:rPr>
              <w:t>113,4</w:t>
            </w:r>
          </w:p>
        </w:tc>
      </w:tr>
    </w:tbl>
    <w:p w14:paraId="2D932ECB" w14:textId="77777777" w:rsidR="002A33E0" w:rsidRDefault="002A33E0">
      <w:pPr>
        <w:spacing w:after="0"/>
      </w:pPr>
    </w:p>
    <w:p w14:paraId="0276DCF2" w14:textId="77777777" w:rsidR="002A33E0" w:rsidRDefault="00000000">
      <w:pPr>
        <w:spacing w:line="240" w:lineRule="auto"/>
        <w:jc w:val="both"/>
      </w:pPr>
      <w:r>
        <w:t>Prihodi od imovine (šifra 64) ostvareni su iznosu od 20.715,32 EUR što predstavlja povećanje od 13,40 % u odnosu na isto razdoblje 2024. godine. Prihodi od imovine ostvareni su kako slijedi: • Prihodi od financijske imovine u iznosu od 5,26 EUR, • Prihodi od nefinancijske imovine u iznosu od 20.710,06 EUR.  Prihodi od imovine ostvareni su u sličnom iznosu kao i prethodne godine. Nešto bolje ostvarenje bilježi se kod prihoda od imovine (13,40 % više u odnosu na 2024. godinu) kod prihoda od  nefinancijske imovine.</w:t>
      </w:r>
    </w:p>
    <w:p w14:paraId="2506D00F" w14:textId="77777777" w:rsidR="002A33E0" w:rsidRDefault="002A33E0"/>
    <w:p w14:paraId="1168A65F" w14:textId="77777777" w:rsidR="002A33E0"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A33E0" w14:paraId="43E3D54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C34999" w14:textId="77777777" w:rsidR="002A33E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CEB7089" w14:textId="77777777" w:rsidR="002A33E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491EA6" w14:textId="77777777" w:rsidR="002A33E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2988D8" w14:textId="77777777" w:rsidR="002A33E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738556" w14:textId="77777777" w:rsidR="002A33E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CEF6ED" w14:textId="77777777" w:rsidR="002A33E0" w:rsidRDefault="00000000">
            <w:pPr>
              <w:keepNext/>
              <w:keepLines/>
              <w:spacing w:after="0" w:line="240" w:lineRule="auto"/>
              <w:jc w:val="center"/>
            </w:pPr>
            <w:r>
              <w:rPr>
                <w:b/>
                <w:sz w:val="18"/>
              </w:rPr>
              <w:t>Indeks (%)</w:t>
            </w:r>
          </w:p>
        </w:tc>
      </w:tr>
      <w:tr w:rsidR="002A33E0" w14:paraId="354FF81A" w14:textId="77777777">
        <w:tblPrEx>
          <w:tblCellMar>
            <w:top w:w="0" w:type="dxa"/>
            <w:bottom w:w="0" w:type="dxa"/>
          </w:tblCellMar>
        </w:tblPrEx>
        <w:trPr>
          <w:cantSplit/>
          <w:trHeight w:val="560"/>
        </w:trPr>
        <w:tc>
          <w:tcPr>
            <w:tcW w:w="700" w:type="dxa"/>
            <w:tcMar>
              <w:top w:w="0" w:type="dxa"/>
              <w:bottom w:w="0" w:type="dxa"/>
            </w:tcMar>
            <w:vAlign w:val="center"/>
          </w:tcPr>
          <w:p w14:paraId="16794C26" w14:textId="77777777" w:rsidR="002A33E0" w:rsidRDefault="00000000">
            <w:pPr>
              <w:keepNext/>
              <w:keepLines/>
              <w:spacing w:after="0" w:line="240" w:lineRule="auto"/>
            </w:pPr>
            <w:r>
              <w:rPr>
                <w:sz w:val="18"/>
              </w:rPr>
              <w:t>65</w:t>
            </w:r>
          </w:p>
        </w:tc>
        <w:tc>
          <w:tcPr>
            <w:tcW w:w="3180" w:type="dxa"/>
            <w:tcMar>
              <w:top w:w="0" w:type="dxa"/>
              <w:bottom w:w="0" w:type="dxa"/>
            </w:tcMar>
            <w:vAlign w:val="center"/>
          </w:tcPr>
          <w:p w14:paraId="466B1B5B" w14:textId="77777777" w:rsidR="002A33E0" w:rsidRDefault="00000000">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16054BD3" w14:textId="77777777" w:rsidR="002A33E0" w:rsidRDefault="00000000">
            <w:pPr>
              <w:keepNext/>
              <w:keepLines/>
              <w:spacing w:after="0" w:line="240" w:lineRule="auto"/>
            </w:pPr>
            <w:r>
              <w:rPr>
                <w:sz w:val="18"/>
              </w:rPr>
              <w:t>65</w:t>
            </w:r>
          </w:p>
        </w:tc>
        <w:tc>
          <w:tcPr>
            <w:tcW w:w="1860" w:type="dxa"/>
            <w:tcMar>
              <w:top w:w="0" w:type="dxa"/>
              <w:bottom w:w="0" w:type="dxa"/>
            </w:tcMar>
            <w:vAlign w:val="center"/>
          </w:tcPr>
          <w:p w14:paraId="643AA85B" w14:textId="77777777" w:rsidR="002A33E0" w:rsidRDefault="00000000">
            <w:pPr>
              <w:keepNext/>
              <w:keepLines/>
              <w:spacing w:after="0" w:line="240" w:lineRule="auto"/>
              <w:jc w:val="right"/>
            </w:pPr>
            <w:r>
              <w:rPr>
                <w:sz w:val="18"/>
              </w:rPr>
              <w:t>187.912,53</w:t>
            </w:r>
          </w:p>
        </w:tc>
        <w:tc>
          <w:tcPr>
            <w:tcW w:w="1860" w:type="dxa"/>
            <w:tcMar>
              <w:top w:w="0" w:type="dxa"/>
              <w:bottom w:w="0" w:type="dxa"/>
            </w:tcMar>
            <w:vAlign w:val="center"/>
          </w:tcPr>
          <w:p w14:paraId="39598892" w14:textId="77777777" w:rsidR="002A33E0" w:rsidRDefault="00000000">
            <w:pPr>
              <w:keepNext/>
              <w:keepLines/>
              <w:spacing w:after="0" w:line="240" w:lineRule="auto"/>
              <w:jc w:val="right"/>
            </w:pPr>
            <w:r>
              <w:rPr>
                <w:sz w:val="18"/>
              </w:rPr>
              <w:t>147.512,92</w:t>
            </w:r>
          </w:p>
        </w:tc>
        <w:tc>
          <w:tcPr>
            <w:tcW w:w="700" w:type="dxa"/>
            <w:tcMar>
              <w:top w:w="0" w:type="dxa"/>
              <w:bottom w:w="0" w:type="dxa"/>
            </w:tcMar>
            <w:vAlign w:val="center"/>
          </w:tcPr>
          <w:p w14:paraId="3AD916E4" w14:textId="77777777" w:rsidR="002A33E0" w:rsidRDefault="00000000">
            <w:pPr>
              <w:keepNext/>
              <w:keepLines/>
              <w:spacing w:after="0" w:line="240" w:lineRule="auto"/>
              <w:jc w:val="right"/>
            </w:pPr>
            <w:r>
              <w:rPr>
                <w:sz w:val="18"/>
              </w:rPr>
              <w:t>78,5</w:t>
            </w:r>
          </w:p>
        </w:tc>
      </w:tr>
    </w:tbl>
    <w:p w14:paraId="57EDDE07" w14:textId="77777777" w:rsidR="002A33E0" w:rsidRDefault="002A33E0">
      <w:pPr>
        <w:spacing w:after="0"/>
      </w:pPr>
    </w:p>
    <w:p w14:paraId="5B6B918D" w14:textId="77777777" w:rsidR="002A33E0" w:rsidRDefault="00000000">
      <w:pPr>
        <w:spacing w:line="240" w:lineRule="auto"/>
        <w:jc w:val="both"/>
      </w:pPr>
      <w:r>
        <w:t>Prihodi od upravnih i administrativnih pristojbi, pristojbi po posebnim propisima  i naknada (šifra 65) ostvareni su u iznosu od 147.512,92 EUR što je za 21,50 % manje u odnosu na isto razdoblje 2024. godine. Ova vrsta prihoda ostvarena je kako slijedi:  • Upravne i administrativne pristojbe u iznosu od 8.000,54 EUR, • Prihodi po posebnim propisima u iznosu od 104,36 EUR, • Komunalni doprinosi i naknade u iznosu od 139.365,88 EUR.  Prihodi od upravne i administrativnih pristojbe ostvareni su za 783,0 % manji u odnosu na isto razdoblje 2024. godine. Značajni pad bilježi se kod komunalnih doprinosa i naknada a razlog je manji broj izdanih Rješenja u odnosu na isto razdoblje 2024. godine.</w:t>
      </w:r>
    </w:p>
    <w:p w14:paraId="48BBB45A" w14:textId="77777777" w:rsidR="002A33E0" w:rsidRDefault="002A33E0"/>
    <w:p w14:paraId="6402AA46" w14:textId="77777777" w:rsidR="002A33E0"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A33E0" w14:paraId="7AF02D5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4B2781" w14:textId="77777777" w:rsidR="002A33E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F37652B" w14:textId="77777777" w:rsidR="002A33E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30EC46" w14:textId="77777777" w:rsidR="002A33E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E5287A" w14:textId="77777777" w:rsidR="002A33E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84E8B24" w14:textId="77777777" w:rsidR="002A33E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83CAE1B" w14:textId="77777777" w:rsidR="002A33E0" w:rsidRDefault="00000000">
            <w:pPr>
              <w:keepNext/>
              <w:keepLines/>
              <w:spacing w:after="0" w:line="240" w:lineRule="auto"/>
              <w:jc w:val="center"/>
            </w:pPr>
            <w:r>
              <w:rPr>
                <w:b/>
                <w:sz w:val="18"/>
              </w:rPr>
              <w:t>Indeks (%)</w:t>
            </w:r>
          </w:p>
        </w:tc>
      </w:tr>
      <w:tr w:rsidR="002A33E0" w14:paraId="179846D7" w14:textId="77777777">
        <w:tblPrEx>
          <w:tblCellMar>
            <w:top w:w="0" w:type="dxa"/>
            <w:bottom w:w="0" w:type="dxa"/>
          </w:tblCellMar>
        </w:tblPrEx>
        <w:trPr>
          <w:cantSplit/>
          <w:trHeight w:val="560"/>
        </w:trPr>
        <w:tc>
          <w:tcPr>
            <w:tcW w:w="700" w:type="dxa"/>
            <w:tcMar>
              <w:top w:w="0" w:type="dxa"/>
              <w:bottom w:w="0" w:type="dxa"/>
            </w:tcMar>
            <w:vAlign w:val="center"/>
          </w:tcPr>
          <w:p w14:paraId="6B07E274" w14:textId="77777777" w:rsidR="002A33E0" w:rsidRDefault="00000000">
            <w:pPr>
              <w:keepNext/>
              <w:keepLines/>
              <w:spacing w:after="0" w:line="240" w:lineRule="auto"/>
            </w:pPr>
            <w:r>
              <w:rPr>
                <w:sz w:val="18"/>
              </w:rPr>
              <w:t>66</w:t>
            </w:r>
          </w:p>
        </w:tc>
        <w:tc>
          <w:tcPr>
            <w:tcW w:w="3180" w:type="dxa"/>
            <w:tcMar>
              <w:top w:w="0" w:type="dxa"/>
              <w:bottom w:w="0" w:type="dxa"/>
            </w:tcMar>
            <w:vAlign w:val="center"/>
          </w:tcPr>
          <w:p w14:paraId="28876E8F" w14:textId="77777777" w:rsidR="002A33E0" w:rsidRDefault="00000000">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14:paraId="6EA92582" w14:textId="77777777" w:rsidR="002A33E0" w:rsidRDefault="00000000">
            <w:pPr>
              <w:keepNext/>
              <w:keepLines/>
              <w:spacing w:after="0" w:line="240" w:lineRule="auto"/>
            </w:pPr>
            <w:r>
              <w:rPr>
                <w:sz w:val="18"/>
              </w:rPr>
              <w:t>66</w:t>
            </w:r>
          </w:p>
        </w:tc>
        <w:tc>
          <w:tcPr>
            <w:tcW w:w="1860" w:type="dxa"/>
            <w:tcMar>
              <w:top w:w="0" w:type="dxa"/>
              <w:bottom w:w="0" w:type="dxa"/>
            </w:tcMar>
            <w:vAlign w:val="center"/>
          </w:tcPr>
          <w:p w14:paraId="6A10E9F4" w14:textId="77777777" w:rsidR="002A33E0" w:rsidRDefault="00000000">
            <w:pPr>
              <w:keepNext/>
              <w:keepLines/>
              <w:spacing w:after="0" w:line="240" w:lineRule="auto"/>
              <w:jc w:val="right"/>
            </w:pPr>
            <w:r>
              <w:rPr>
                <w:sz w:val="18"/>
              </w:rPr>
              <w:t>8.286,84</w:t>
            </w:r>
          </w:p>
        </w:tc>
        <w:tc>
          <w:tcPr>
            <w:tcW w:w="1860" w:type="dxa"/>
            <w:tcMar>
              <w:top w:w="0" w:type="dxa"/>
              <w:bottom w:w="0" w:type="dxa"/>
            </w:tcMar>
            <w:vAlign w:val="center"/>
          </w:tcPr>
          <w:p w14:paraId="25EC2E0D" w14:textId="77777777" w:rsidR="002A33E0" w:rsidRDefault="00000000">
            <w:pPr>
              <w:keepNext/>
              <w:keepLines/>
              <w:spacing w:after="0" w:line="240" w:lineRule="auto"/>
              <w:jc w:val="right"/>
            </w:pPr>
            <w:r>
              <w:rPr>
                <w:sz w:val="18"/>
              </w:rPr>
              <w:t>8.391,90</w:t>
            </w:r>
          </w:p>
        </w:tc>
        <w:tc>
          <w:tcPr>
            <w:tcW w:w="700" w:type="dxa"/>
            <w:tcMar>
              <w:top w:w="0" w:type="dxa"/>
              <w:bottom w:w="0" w:type="dxa"/>
            </w:tcMar>
            <w:vAlign w:val="center"/>
          </w:tcPr>
          <w:p w14:paraId="70AF7E96" w14:textId="77777777" w:rsidR="002A33E0" w:rsidRDefault="00000000">
            <w:pPr>
              <w:keepNext/>
              <w:keepLines/>
              <w:spacing w:after="0" w:line="240" w:lineRule="auto"/>
              <w:jc w:val="right"/>
            </w:pPr>
            <w:r>
              <w:rPr>
                <w:sz w:val="18"/>
              </w:rPr>
              <w:t>101,3</w:t>
            </w:r>
          </w:p>
        </w:tc>
      </w:tr>
    </w:tbl>
    <w:p w14:paraId="47E273CE" w14:textId="77777777" w:rsidR="002A33E0" w:rsidRDefault="002A33E0">
      <w:pPr>
        <w:spacing w:after="0"/>
      </w:pPr>
    </w:p>
    <w:p w14:paraId="55818D89" w14:textId="77777777" w:rsidR="002A33E0" w:rsidRDefault="00000000">
      <w:pPr>
        <w:spacing w:line="240" w:lineRule="auto"/>
        <w:jc w:val="both"/>
      </w:pPr>
      <w:r>
        <w:t>Prihod od prodaje proizvoda i roba te pruženih usluga, prihod od donacija te povrati po protestiranim jamstvima (šifra 66) ostvareni su u iznosu od 8.391,90 EUR što je za 1,30 % više u odnosu na isto razdoblje 2024. godine. Kod ove skupine prihoda nije bilo značajnijih promjena u odnosu na isto razdoblje prethodne godine.</w:t>
      </w:r>
    </w:p>
    <w:p w14:paraId="661FA998" w14:textId="77777777" w:rsidR="002A33E0" w:rsidRDefault="002A33E0"/>
    <w:p w14:paraId="67BA0A7A" w14:textId="77777777" w:rsidR="002A33E0"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A33E0" w14:paraId="7F2E281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30D77D" w14:textId="77777777" w:rsidR="002A33E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7C7C933" w14:textId="77777777" w:rsidR="002A33E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7E8DDC" w14:textId="77777777" w:rsidR="002A33E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14ECB7" w14:textId="77777777" w:rsidR="002A33E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CA0060" w14:textId="77777777" w:rsidR="002A33E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7D18D2" w14:textId="77777777" w:rsidR="002A33E0" w:rsidRDefault="00000000">
            <w:pPr>
              <w:keepNext/>
              <w:keepLines/>
              <w:spacing w:after="0" w:line="240" w:lineRule="auto"/>
              <w:jc w:val="center"/>
            </w:pPr>
            <w:r>
              <w:rPr>
                <w:b/>
                <w:sz w:val="18"/>
              </w:rPr>
              <w:t>Indeks (%)</w:t>
            </w:r>
          </w:p>
        </w:tc>
      </w:tr>
      <w:tr w:rsidR="002A33E0" w14:paraId="30A1E82B" w14:textId="77777777">
        <w:tblPrEx>
          <w:tblCellMar>
            <w:top w:w="0" w:type="dxa"/>
            <w:bottom w:w="0" w:type="dxa"/>
          </w:tblCellMar>
        </w:tblPrEx>
        <w:trPr>
          <w:cantSplit/>
          <w:trHeight w:val="560"/>
        </w:trPr>
        <w:tc>
          <w:tcPr>
            <w:tcW w:w="700" w:type="dxa"/>
            <w:tcMar>
              <w:top w:w="0" w:type="dxa"/>
              <w:bottom w:w="0" w:type="dxa"/>
            </w:tcMar>
            <w:vAlign w:val="center"/>
          </w:tcPr>
          <w:p w14:paraId="28C531EE" w14:textId="77777777" w:rsidR="002A33E0" w:rsidRDefault="00000000">
            <w:pPr>
              <w:keepNext/>
              <w:keepLines/>
              <w:spacing w:after="0" w:line="240" w:lineRule="auto"/>
            </w:pPr>
            <w:r>
              <w:rPr>
                <w:sz w:val="18"/>
              </w:rPr>
              <w:t>68</w:t>
            </w:r>
          </w:p>
        </w:tc>
        <w:tc>
          <w:tcPr>
            <w:tcW w:w="3180" w:type="dxa"/>
            <w:tcMar>
              <w:top w:w="0" w:type="dxa"/>
              <w:bottom w:w="0" w:type="dxa"/>
            </w:tcMar>
            <w:vAlign w:val="center"/>
          </w:tcPr>
          <w:p w14:paraId="30195233" w14:textId="77777777" w:rsidR="002A33E0" w:rsidRDefault="00000000">
            <w:pPr>
              <w:keepNext/>
              <w:keepLines/>
              <w:spacing w:after="0" w:line="240" w:lineRule="auto"/>
            </w:pPr>
            <w:r>
              <w:rPr>
                <w:sz w:val="18"/>
              </w:rPr>
              <w:t>Kazne, upravne mjere i ostali prihodi (šifre 681+683)</w:t>
            </w:r>
          </w:p>
        </w:tc>
        <w:tc>
          <w:tcPr>
            <w:tcW w:w="700" w:type="dxa"/>
            <w:tcMar>
              <w:top w:w="0" w:type="dxa"/>
              <w:bottom w:w="0" w:type="dxa"/>
            </w:tcMar>
            <w:vAlign w:val="center"/>
          </w:tcPr>
          <w:p w14:paraId="56734717" w14:textId="77777777" w:rsidR="002A33E0" w:rsidRDefault="00000000">
            <w:pPr>
              <w:keepNext/>
              <w:keepLines/>
              <w:spacing w:after="0" w:line="240" w:lineRule="auto"/>
            </w:pPr>
            <w:r>
              <w:rPr>
                <w:sz w:val="18"/>
              </w:rPr>
              <w:t>68</w:t>
            </w:r>
          </w:p>
        </w:tc>
        <w:tc>
          <w:tcPr>
            <w:tcW w:w="1860" w:type="dxa"/>
            <w:tcMar>
              <w:top w:w="0" w:type="dxa"/>
              <w:bottom w:w="0" w:type="dxa"/>
            </w:tcMar>
            <w:vAlign w:val="center"/>
          </w:tcPr>
          <w:p w14:paraId="1F7B3205" w14:textId="77777777" w:rsidR="002A33E0" w:rsidRDefault="00000000">
            <w:pPr>
              <w:keepNext/>
              <w:keepLines/>
              <w:spacing w:after="0" w:line="240" w:lineRule="auto"/>
              <w:jc w:val="right"/>
            </w:pPr>
            <w:r>
              <w:rPr>
                <w:sz w:val="18"/>
              </w:rPr>
              <w:t>773,66</w:t>
            </w:r>
          </w:p>
        </w:tc>
        <w:tc>
          <w:tcPr>
            <w:tcW w:w="1860" w:type="dxa"/>
            <w:tcMar>
              <w:top w:w="0" w:type="dxa"/>
              <w:bottom w:w="0" w:type="dxa"/>
            </w:tcMar>
            <w:vAlign w:val="center"/>
          </w:tcPr>
          <w:p w14:paraId="543ABC89" w14:textId="77777777" w:rsidR="002A33E0" w:rsidRDefault="00000000">
            <w:pPr>
              <w:keepNext/>
              <w:keepLines/>
              <w:spacing w:after="0" w:line="240" w:lineRule="auto"/>
              <w:jc w:val="right"/>
            </w:pPr>
            <w:r>
              <w:rPr>
                <w:sz w:val="18"/>
              </w:rPr>
              <w:t>2.960,83</w:t>
            </w:r>
          </w:p>
        </w:tc>
        <w:tc>
          <w:tcPr>
            <w:tcW w:w="700" w:type="dxa"/>
            <w:tcMar>
              <w:top w:w="0" w:type="dxa"/>
              <w:bottom w:w="0" w:type="dxa"/>
            </w:tcMar>
            <w:vAlign w:val="center"/>
          </w:tcPr>
          <w:p w14:paraId="6C5FC1FD" w14:textId="77777777" w:rsidR="002A33E0" w:rsidRDefault="00000000">
            <w:pPr>
              <w:keepNext/>
              <w:keepLines/>
              <w:spacing w:after="0" w:line="240" w:lineRule="auto"/>
              <w:jc w:val="right"/>
            </w:pPr>
            <w:r>
              <w:rPr>
                <w:sz w:val="18"/>
              </w:rPr>
              <w:t>382,7</w:t>
            </w:r>
          </w:p>
        </w:tc>
      </w:tr>
    </w:tbl>
    <w:p w14:paraId="4E548AC5" w14:textId="77777777" w:rsidR="002A33E0" w:rsidRDefault="002A33E0">
      <w:pPr>
        <w:spacing w:after="0"/>
      </w:pPr>
    </w:p>
    <w:p w14:paraId="1C5C768B" w14:textId="77777777" w:rsidR="002A33E0" w:rsidRDefault="00000000">
      <w:pPr>
        <w:spacing w:line="240" w:lineRule="auto"/>
        <w:jc w:val="both"/>
      </w:pPr>
      <w:r>
        <w:t xml:space="preserve">Kazne, upravne mjere i ostali prihodi (šifra 68) ostvareni su u iznosu od 2.960,83 EUR što predstavlja povećanje od  182,70 % u odnosu na isto razdoblje 2024. godine.  Najznačajnije povećanje bilježi se kod ostalih prihoda zbog aktivacije pologa za </w:t>
      </w:r>
      <w:proofErr w:type="spellStart"/>
      <w:r>
        <w:t>prekope</w:t>
      </w:r>
      <w:proofErr w:type="spellEnd"/>
      <w:r>
        <w:t xml:space="preserve"> javnih površina budući da stranke nisu vratile iste u prijašnje stanje. Također još jedan od razloga većeg ostvarenja ove vrste prihoda u odnosu na 2024. godinu su poslane opomene za neplaćene kazne za prometne prekršaje te naplata istih.</w:t>
      </w:r>
    </w:p>
    <w:p w14:paraId="223C7735" w14:textId="77777777" w:rsidR="002A33E0" w:rsidRDefault="002A33E0"/>
    <w:p w14:paraId="04B5F563" w14:textId="77777777" w:rsidR="002A33E0"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A33E0" w14:paraId="6A1B536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93953B" w14:textId="77777777" w:rsidR="002A33E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FD0D019" w14:textId="77777777" w:rsidR="002A33E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CC3CDA" w14:textId="77777777" w:rsidR="002A33E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475501" w14:textId="77777777" w:rsidR="002A33E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94F117" w14:textId="77777777" w:rsidR="002A33E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9F1BE39" w14:textId="77777777" w:rsidR="002A33E0" w:rsidRDefault="00000000">
            <w:pPr>
              <w:keepNext/>
              <w:keepLines/>
              <w:spacing w:after="0" w:line="240" w:lineRule="auto"/>
              <w:jc w:val="center"/>
            </w:pPr>
            <w:r>
              <w:rPr>
                <w:b/>
                <w:sz w:val="18"/>
              </w:rPr>
              <w:t>Indeks (%)</w:t>
            </w:r>
          </w:p>
        </w:tc>
      </w:tr>
      <w:tr w:rsidR="002A33E0" w14:paraId="5A966215" w14:textId="77777777">
        <w:tblPrEx>
          <w:tblCellMar>
            <w:top w:w="0" w:type="dxa"/>
            <w:bottom w:w="0" w:type="dxa"/>
          </w:tblCellMar>
        </w:tblPrEx>
        <w:trPr>
          <w:cantSplit/>
          <w:trHeight w:val="560"/>
        </w:trPr>
        <w:tc>
          <w:tcPr>
            <w:tcW w:w="700" w:type="dxa"/>
            <w:tcMar>
              <w:top w:w="0" w:type="dxa"/>
              <w:bottom w:w="0" w:type="dxa"/>
            </w:tcMar>
            <w:vAlign w:val="center"/>
          </w:tcPr>
          <w:p w14:paraId="355B167E" w14:textId="77777777" w:rsidR="002A33E0" w:rsidRDefault="00000000">
            <w:pPr>
              <w:keepNext/>
              <w:keepLines/>
              <w:spacing w:after="0" w:line="240" w:lineRule="auto"/>
            </w:pPr>
            <w:r>
              <w:rPr>
                <w:sz w:val="18"/>
              </w:rPr>
              <w:t>3</w:t>
            </w:r>
          </w:p>
        </w:tc>
        <w:tc>
          <w:tcPr>
            <w:tcW w:w="3180" w:type="dxa"/>
            <w:tcMar>
              <w:top w:w="0" w:type="dxa"/>
              <w:bottom w:w="0" w:type="dxa"/>
            </w:tcMar>
            <w:vAlign w:val="center"/>
          </w:tcPr>
          <w:p w14:paraId="027AC096" w14:textId="77777777" w:rsidR="002A33E0"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3A3AE1AE" w14:textId="77777777" w:rsidR="002A33E0" w:rsidRDefault="00000000">
            <w:pPr>
              <w:keepNext/>
              <w:keepLines/>
              <w:spacing w:after="0" w:line="240" w:lineRule="auto"/>
            </w:pPr>
            <w:r>
              <w:rPr>
                <w:sz w:val="18"/>
              </w:rPr>
              <w:t>3</w:t>
            </w:r>
          </w:p>
        </w:tc>
        <w:tc>
          <w:tcPr>
            <w:tcW w:w="1860" w:type="dxa"/>
            <w:tcMar>
              <w:top w:w="0" w:type="dxa"/>
              <w:bottom w:w="0" w:type="dxa"/>
            </w:tcMar>
            <w:vAlign w:val="center"/>
          </w:tcPr>
          <w:p w14:paraId="7FF0A9F9" w14:textId="77777777" w:rsidR="002A33E0" w:rsidRDefault="00000000">
            <w:pPr>
              <w:keepNext/>
              <w:keepLines/>
              <w:spacing w:after="0" w:line="240" w:lineRule="auto"/>
              <w:jc w:val="right"/>
            </w:pPr>
            <w:r>
              <w:rPr>
                <w:sz w:val="18"/>
              </w:rPr>
              <w:t>779.708,15</w:t>
            </w:r>
          </w:p>
        </w:tc>
        <w:tc>
          <w:tcPr>
            <w:tcW w:w="1860" w:type="dxa"/>
            <w:tcMar>
              <w:top w:w="0" w:type="dxa"/>
              <w:bottom w:w="0" w:type="dxa"/>
            </w:tcMar>
            <w:vAlign w:val="center"/>
          </w:tcPr>
          <w:p w14:paraId="4EB5BD87" w14:textId="77777777" w:rsidR="002A33E0" w:rsidRDefault="00000000">
            <w:pPr>
              <w:keepNext/>
              <w:keepLines/>
              <w:spacing w:after="0" w:line="240" w:lineRule="auto"/>
              <w:jc w:val="right"/>
            </w:pPr>
            <w:r>
              <w:rPr>
                <w:sz w:val="18"/>
              </w:rPr>
              <w:t>1.303.017,31</w:t>
            </w:r>
          </w:p>
        </w:tc>
        <w:tc>
          <w:tcPr>
            <w:tcW w:w="700" w:type="dxa"/>
            <w:tcMar>
              <w:top w:w="0" w:type="dxa"/>
              <w:bottom w:w="0" w:type="dxa"/>
            </w:tcMar>
            <w:vAlign w:val="center"/>
          </w:tcPr>
          <w:p w14:paraId="2D34B87D" w14:textId="77777777" w:rsidR="002A33E0" w:rsidRDefault="00000000">
            <w:pPr>
              <w:keepNext/>
              <w:keepLines/>
              <w:spacing w:after="0" w:line="240" w:lineRule="auto"/>
              <w:jc w:val="right"/>
            </w:pPr>
            <w:r>
              <w:rPr>
                <w:sz w:val="18"/>
              </w:rPr>
              <w:t>167,1</w:t>
            </w:r>
          </w:p>
        </w:tc>
      </w:tr>
    </w:tbl>
    <w:p w14:paraId="563DB531" w14:textId="77777777" w:rsidR="002A33E0" w:rsidRDefault="002A33E0">
      <w:pPr>
        <w:spacing w:after="0"/>
      </w:pPr>
    </w:p>
    <w:p w14:paraId="185CF26B" w14:textId="77777777" w:rsidR="002A33E0" w:rsidRDefault="00000000">
      <w:pPr>
        <w:spacing w:line="240" w:lineRule="auto"/>
        <w:jc w:val="both"/>
      </w:pPr>
      <w:r>
        <w:t>Rashodi poslovanja izvršeni su u iznosu od 1.303.017,31 EUR što je za 67,10 % više u odnosu na isto razdoblje 2024. godine.</w:t>
      </w:r>
    </w:p>
    <w:p w14:paraId="40CCAFA3" w14:textId="77777777" w:rsidR="002A33E0" w:rsidRDefault="002A33E0"/>
    <w:p w14:paraId="077AE5F9" w14:textId="77777777" w:rsidR="002A33E0"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A33E0" w14:paraId="440AC95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D52833" w14:textId="77777777" w:rsidR="002A33E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C73DC7B" w14:textId="77777777" w:rsidR="002A33E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DE3E1D" w14:textId="77777777" w:rsidR="002A33E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01B9CC" w14:textId="77777777" w:rsidR="002A33E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41AA17" w14:textId="77777777" w:rsidR="002A33E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270C2D" w14:textId="77777777" w:rsidR="002A33E0" w:rsidRDefault="00000000">
            <w:pPr>
              <w:keepNext/>
              <w:keepLines/>
              <w:spacing w:after="0" w:line="240" w:lineRule="auto"/>
              <w:jc w:val="center"/>
            </w:pPr>
            <w:r>
              <w:rPr>
                <w:b/>
                <w:sz w:val="18"/>
              </w:rPr>
              <w:t>Indeks (%)</w:t>
            </w:r>
          </w:p>
        </w:tc>
      </w:tr>
      <w:tr w:rsidR="002A33E0" w14:paraId="67CB7CB2" w14:textId="77777777">
        <w:tblPrEx>
          <w:tblCellMar>
            <w:top w:w="0" w:type="dxa"/>
            <w:bottom w:w="0" w:type="dxa"/>
          </w:tblCellMar>
        </w:tblPrEx>
        <w:trPr>
          <w:cantSplit/>
          <w:trHeight w:val="560"/>
        </w:trPr>
        <w:tc>
          <w:tcPr>
            <w:tcW w:w="700" w:type="dxa"/>
            <w:tcMar>
              <w:top w:w="0" w:type="dxa"/>
              <w:bottom w:w="0" w:type="dxa"/>
            </w:tcMar>
            <w:vAlign w:val="center"/>
          </w:tcPr>
          <w:p w14:paraId="6CDA7115" w14:textId="77777777" w:rsidR="002A33E0" w:rsidRDefault="00000000">
            <w:pPr>
              <w:keepNext/>
              <w:keepLines/>
              <w:spacing w:after="0" w:line="240" w:lineRule="auto"/>
            </w:pPr>
            <w:r>
              <w:rPr>
                <w:sz w:val="18"/>
              </w:rPr>
              <w:t>31</w:t>
            </w:r>
          </w:p>
        </w:tc>
        <w:tc>
          <w:tcPr>
            <w:tcW w:w="3180" w:type="dxa"/>
            <w:tcMar>
              <w:top w:w="0" w:type="dxa"/>
              <w:bottom w:w="0" w:type="dxa"/>
            </w:tcMar>
            <w:vAlign w:val="center"/>
          </w:tcPr>
          <w:p w14:paraId="13311D1B" w14:textId="77777777" w:rsidR="002A33E0"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5E364CA1" w14:textId="77777777" w:rsidR="002A33E0" w:rsidRDefault="00000000">
            <w:pPr>
              <w:keepNext/>
              <w:keepLines/>
              <w:spacing w:after="0" w:line="240" w:lineRule="auto"/>
            </w:pPr>
            <w:r>
              <w:rPr>
                <w:sz w:val="18"/>
              </w:rPr>
              <w:t>31</w:t>
            </w:r>
          </w:p>
        </w:tc>
        <w:tc>
          <w:tcPr>
            <w:tcW w:w="1860" w:type="dxa"/>
            <w:tcMar>
              <w:top w:w="0" w:type="dxa"/>
              <w:bottom w:w="0" w:type="dxa"/>
            </w:tcMar>
            <w:vAlign w:val="center"/>
          </w:tcPr>
          <w:p w14:paraId="6426A2B0" w14:textId="77777777" w:rsidR="002A33E0" w:rsidRDefault="00000000">
            <w:pPr>
              <w:keepNext/>
              <w:keepLines/>
              <w:spacing w:after="0" w:line="240" w:lineRule="auto"/>
              <w:jc w:val="right"/>
            </w:pPr>
            <w:r>
              <w:rPr>
                <w:sz w:val="18"/>
              </w:rPr>
              <w:t>130.008,26</w:t>
            </w:r>
          </w:p>
        </w:tc>
        <w:tc>
          <w:tcPr>
            <w:tcW w:w="1860" w:type="dxa"/>
            <w:tcMar>
              <w:top w:w="0" w:type="dxa"/>
              <w:bottom w:w="0" w:type="dxa"/>
            </w:tcMar>
            <w:vAlign w:val="center"/>
          </w:tcPr>
          <w:p w14:paraId="393C30D9" w14:textId="77777777" w:rsidR="002A33E0" w:rsidRDefault="00000000">
            <w:pPr>
              <w:keepNext/>
              <w:keepLines/>
              <w:spacing w:after="0" w:line="240" w:lineRule="auto"/>
              <w:jc w:val="right"/>
            </w:pPr>
            <w:r>
              <w:rPr>
                <w:sz w:val="18"/>
              </w:rPr>
              <w:t>207.372,72</w:t>
            </w:r>
          </w:p>
        </w:tc>
        <w:tc>
          <w:tcPr>
            <w:tcW w:w="700" w:type="dxa"/>
            <w:tcMar>
              <w:top w:w="0" w:type="dxa"/>
              <w:bottom w:w="0" w:type="dxa"/>
            </w:tcMar>
            <w:vAlign w:val="center"/>
          </w:tcPr>
          <w:p w14:paraId="552AD8C9" w14:textId="77777777" w:rsidR="002A33E0" w:rsidRDefault="00000000">
            <w:pPr>
              <w:keepNext/>
              <w:keepLines/>
              <w:spacing w:after="0" w:line="240" w:lineRule="auto"/>
              <w:jc w:val="right"/>
            </w:pPr>
            <w:r>
              <w:rPr>
                <w:sz w:val="18"/>
              </w:rPr>
              <w:t>159,5</w:t>
            </w:r>
          </w:p>
        </w:tc>
      </w:tr>
    </w:tbl>
    <w:p w14:paraId="047BA52A" w14:textId="77777777" w:rsidR="002A33E0" w:rsidRDefault="002A33E0">
      <w:pPr>
        <w:spacing w:after="0"/>
      </w:pPr>
    </w:p>
    <w:p w14:paraId="167BF056" w14:textId="77777777" w:rsidR="002A33E0" w:rsidRDefault="00000000">
      <w:pPr>
        <w:spacing w:line="240" w:lineRule="auto"/>
        <w:jc w:val="both"/>
      </w:pPr>
      <w:r>
        <w:t xml:space="preserve">Rashodi za zaposlene (šifra 31) izvršeni su u iznosu od 207.3772,72 EUR što predstavlja povećanje od 59,50 % u odnosu na isto razdoblje 2024. godine. Rashodi za zaposlene izvršeni su kako slijedi: • Plaće (bruto) u iznosu od 171.475,35 EUR, • Ostali rashodi za zaposlene u iznosu od 7.659,95 EUR, • Doprinosi na plaće u iznosu od 28.237,42 EUR.  Razlozi povećanja rashoda za zaposlene su porast bruto plaća i s tim povezan porast doprinosa te povećanje ostalih rashoda za zaposlene. Također povećao se i broj zaposlenih budući da je pokrenut projekt Ražanac moj dom + II na kojemu su zaposleni voditelj projekta i deset </w:t>
      </w:r>
      <w:proofErr w:type="spellStart"/>
      <w:r>
        <w:t>gerontodomaćica</w:t>
      </w:r>
      <w:proofErr w:type="spellEnd"/>
      <w:r>
        <w:t xml:space="preserve"> što je značajno povećanje u odnosu na isto razdoblje 2024. godine kada je projekt započeo te još nije bio zaposlen maksimalni broj djelatnika.</w:t>
      </w:r>
    </w:p>
    <w:p w14:paraId="2BBFCFF0" w14:textId="77777777" w:rsidR="002A33E0" w:rsidRDefault="002A33E0"/>
    <w:p w14:paraId="7898E29B" w14:textId="77777777" w:rsidR="002A33E0" w:rsidRDefault="00000000">
      <w:pPr>
        <w:keepNext/>
        <w:spacing w:line="240" w:lineRule="auto"/>
        <w:jc w:val="center"/>
      </w:pPr>
      <w:r>
        <w:rPr>
          <w:sz w:val="28"/>
        </w:rPr>
        <w:lastRenderedPageBreak/>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A33E0" w14:paraId="53EC674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C3A4BE6" w14:textId="77777777" w:rsidR="002A33E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7E6623" w14:textId="77777777" w:rsidR="002A33E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210D4E" w14:textId="77777777" w:rsidR="002A33E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0832D7" w14:textId="77777777" w:rsidR="002A33E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934336" w14:textId="77777777" w:rsidR="002A33E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386580C" w14:textId="77777777" w:rsidR="002A33E0" w:rsidRDefault="00000000">
            <w:pPr>
              <w:keepNext/>
              <w:keepLines/>
              <w:spacing w:after="0" w:line="240" w:lineRule="auto"/>
              <w:jc w:val="center"/>
            </w:pPr>
            <w:r>
              <w:rPr>
                <w:b/>
                <w:sz w:val="18"/>
              </w:rPr>
              <w:t>Indeks (%)</w:t>
            </w:r>
          </w:p>
        </w:tc>
      </w:tr>
      <w:tr w:rsidR="002A33E0" w14:paraId="19C8C3F5" w14:textId="77777777">
        <w:tblPrEx>
          <w:tblCellMar>
            <w:top w:w="0" w:type="dxa"/>
            <w:bottom w:w="0" w:type="dxa"/>
          </w:tblCellMar>
        </w:tblPrEx>
        <w:trPr>
          <w:cantSplit/>
          <w:trHeight w:val="560"/>
        </w:trPr>
        <w:tc>
          <w:tcPr>
            <w:tcW w:w="700" w:type="dxa"/>
            <w:tcMar>
              <w:top w:w="0" w:type="dxa"/>
              <w:bottom w:w="0" w:type="dxa"/>
            </w:tcMar>
            <w:vAlign w:val="center"/>
          </w:tcPr>
          <w:p w14:paraId="2F42DAFF" w14:textId="77777777" w:rsidR="002A33E0" w:rsidRDefault="00000000">
            <w:pPr>
              <w:keepNext/>
              <w:keepLines/>
              <w:spacing w:after="0" w:line="240" w:lineRule="auto"/>
            </w:pPr>
            <w:r>
              <w:rPr>
                <w:sz w:val="18"/>
              </w:rPr>
              <w:t>32</w:t>
            </w:r>
          </w:p>
        </w:tc>
        <w:tc>
          <w:tcPr>
            <w:tcW w:w="3180" w:type="dxa"/>
            <w:tcMar>
              <w:top w:w="0" w:type="dxa"/>
              <w:bottom w:w="0" w:type="dxa"/>
            </w:tcMar>
            <w:vAlign w:val="center"/>
          </w:tcPr>
          <w:p w14:paraId="32D83810" w14:textId="77777777" w:rsidR="002A33E0" w:rsidRDefault="00000000">
            <w:pPr>
              <w:keepNext/>
              <w:keepLines/>
              <w:spacing w:after="0" w:line="240" w:lineRule="auto"/>
            </w:pPr>
            <w:r>
              <w:rPr>
                <w:sz w:val="18"/>
              </w:rPr>
              <w:t>Materijalni rashodi (šifre 321+322+323+324+325+329)</w:t>
            </w:r>
          </w:p>
        </w:tc>
        <w:tc>
          <w:tcPr>
            <w:tcW w:w="700" w:type="dxa"/>
            <w:tcMar>
              <w:top w:w="0" w:type="dxa"/>
              <w:bottom w:w="0" w:type="dxa"/>
            </w:tcMar>
            <w:vAlign w:val="center"/>
          </w:tcPr>
          <w:p w14:paraId="2BEB85F8" w14:textId="77777777" w:rsidR="002A33E0" w:rsidRDefault="00000000">
            <w:pPr>
              <w:keepNext/>
              <w:keepLines/>
              <w:spacing w:after="0" w:line="240" w:lineRule="auto"/>
            </w:pPr>
            <w:r>
              <w:rPr>
                <w:sz w:val="18"/>
              </w:rPr>
              <w:t>32</w:t>
            </w:r>
          </w:p>
        </w:tc>
        <w:tc>
          <w:tcPr>
            <w:tcW w:w="1860" w:type="dxa"/>
            <w:tcMar>
              <w:top w:w="0" w:type="dxa"/>
              <w:bottom w:w="0" w:type="dxa"/>
            </w:tcMar>
            <w:vAlign w:val="center"/>
          </w:tcPr>
          <w:p w14:paraId="057F51DD" w14:textId="77777777" w:rsidR="002A33E0" w:rsidRDefault="00000000">
            <w:pPr>
              <w:keepNext/>
              <w:keepLines/>
              <w:spacing w:after="0" w:line="240" w:lineRule="auto"/>
              <w:jc w:val="right"/>
            </w:pPr>
            <w:r>
              <w:rPr>
                <w:sz w:val="18"/>
              </w:rPr>
              <w:t>434.497,46</w:t>
            </w:r>
          </w:p>
        </w:tc>
        <w:tc>
          <w:tcPr>
            <w:tcW w:w="1860" w:type="dxa"/>
            <w:tcMar>
              <w:top w:w="0" w:type="dxa"/>
              <w:bottom w:w="0" w:type="dxa"/>
            </w:tcMar>
            <w:vAlign w:val="center"/>
          </w:tcPr>
          <w:p w14:paraId="00744BCD" w14:textId="77777777" w:rsidR="002A33E0" w:rsidRDefault="00000000">
            <w:pPr>
              <w:keepNext/>
              <w:keepLines/>
              <w:spacing w:after="0" w:line="240" w:lineRule="auto"/>
              <w:jc w:val="right"/>
            </w:pPr>
            <w:r>
              <w:rPr>
                <w:sz w:val="18"/>
              </w:rPr>
              <w:t>817.264,32</w:t>
            </w:r>
          </w:p>
        </w:tc>
        <w:tc>
          <w:tcPr>
            <w:tcW w:w="700" w:type="dxa"/>
            <w:tcMar>
              <w:top w:w="0" w:type="dxa"/>
              <w:bottom w:w="0" w:type="dxa"/>
            </w:tcMar>
            <w:vAlign w:val="center"/>
          </w:tcPr>
          <w:p w14:paraId="088CBA03" w14:textId="77777777" w:rsidR="002A33E0" w:rsidRDefault="00000000">
            <w:pPr>
              <w:keepNext/>
              <w:keepLines/>
              <w:spacing w:after="0" w:line="240" w:lineRule="auto"/>
              <w:jc w:val="right"/>
            </w:pPr>
            <w:r>
              <w:rPr>
                <w:sz w:val="18"/>
              </w:rPr>
              <w:t>188,1</w:t>
            </w:r>
          </w:p>
        </w:tc>
      </w:tr>
    </w:tbl>
    <w:p w14:paraId="46125C31" w14:textId="77777777" w:rsidR="002A33E0" w:rsidRDefault="002A33E0">
      <w:pPr>
        <w:spacing w:after="0"/>
      </w:pPr>
    </w:p>
    <w:p w14:paraId="49679F40" w14:textId="77777777" w:rsidR="002A33E0" w:rsidRDefault="00000000">
      <w:pPr>
        <w:spacing w:line="240" w:lineRule="auto"/>
        <w:jc w:val="both"/>
      </w:pPr>
      <w:r>
        <w:t>Materijalni  rashodi (šifra 32) izvršeni su u iznosu od 817.264,32 EUR što je za 88,10 % više u odnosu na isto razdoblje 2024. godine. Materijalni rashodi izvršeni su kako slijedi: • Naknade troškova zaposlenima u iznosu od 10.650,17 EUR, • Rashodi za materijal i energiju u iznosu od 111.288,20 EUR, • Rashodi za usluge u iznosu od 640.739,75 EUR, • Ostali nespomenuti rashodi poslovanja u iznosu od 53.077,61 EUR.  Najznačajnije povećanje u odnosu na 2024. godinu bilježi se kod rashoda za sluge. Unutar ove podskupine najznačajniji porast rashoda izvršen je unutar usluga tekućeg i investicijskog održavanja. U prvoj polovici 2025. godine pojačanom dinamikom su se odvijali radovi na tekućem  i investicijskom održavanju komunalne infrastrukture što je glavni razlog značajni većeg izvršenja ove podskupine rashoda.</w:t>
      </w:r>
    </w:p>
    <w:p w14:paraId="27553B82" w14:textId="77777777" w:rsidR="002A33E0" w:rsidRDefault="002A33E0"/>
    <w:p w14:paraId="0BD8BB3A" w14:textId="77777777" w:rsidR="002A33E0"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A33E0" w14:paraId="66186D4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93611C" w14:textId="77777777" w:rsidR="002A33E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5013C1F" w14:textId="77777777" w:rsidR="002A33E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6C6001" w14:textId="77777777" w:rsidR="002A33E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ABF230" w14:textId="77777777" w:rsidR="002A33E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76DD86" w14:textId="77777777" w:rsidR="002A33E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1D3F75" w14:textId="77777777" w:rsidR="002A33E0" w:rsidRDefault="00000000">
            <w:pPr>
              <w:keepNext/>
              <w:keepLines/>
              <w:spacing w:after="0" w:line="240" w:lineRule="auto"/>
              <w:jc w:val="center"/>
            </w:pPr>
            <w:r>
              <w:rPr>
                <w:b/>
                <w:sz w:val="18"/>
              </w:rPr>
              <w:t>Indeks (%)</w:t>
            </w:r>
          </w:p>
        </w:tc>
      </w:tr>
      <w:tr w:rsidR="002A33E0" w14:paraId="3489C7BC" w14:textId="77777777">
        <w:tblPrEx>
          <w:tblCellMar>
            <w:top w:w="0" w:type="dxa"/>
            <w:bottom w:w="0" w:type="dxa"/>
          </w:tblCellMar>
        </w:tblPrEx>
        <w:trPr>
          <w:cantSplit/>
          <w:trHeight w:val="560"/>
        </w:trPr>
        <w:tc>
          <w:tcPr>
            <w:tcW w:w="700" w:type="dxa"/>
            <w:tcMar>
              <w:top w:w="0" w:type="dxa"/>
              <w:bottom w:w="0" w:type="dxa"/>
            </w:tcMar>
            <w:vAlign w:val="center"/>
          </w:tcPr>
          <w:p w14:paraId="52252DB6" w14:textId="77777777" w:rsidR="002A33E0" w:rsidRDefault="00000000">
            <w:pPr>
              <w:keepNext/>
              <w:keepLines/>
              <w:spacing w:after="0" w:line="240" w:lineRule="auto"/>
            </w:pPr>
            <w:r>
              <w:rPr>
                <w:sz w:val="18"/>
              </w:rPr>
              <w:t>34</w:t>
            </w:r>
          </w:p>
        </w:tc>
        <w:tc>
          <w:tcPr>
            <w:tcW w:w="3180" w:type="dxa"/>
            <w:tcMar>
              <w:top w:w="0" w:type="dxa"/>
              <w:bottom w:w="0" w:type="dxa"/>
            </w:tcMar>
            <w:vAlign w:val="center"/>
          </w:tcPr>
          <w:p w14:paraId="77576EB0" w14:textId="77777777" w:rsidR="002A33E0" w:rsidRDefault="00000000">
            <w:pPr>
              <w:keepNext/>
              <w:keepLines/>
              <w:spacing w:after="0" w:line="240" w:lineRule="auto"/>
            </w:pPr>
            <w:r>
              <w:rPr>
                <w:sz w:val="18"/>
              </w:rPr>
              <w:t>Financijski rashodi (šifre 341+342+343)</w:t>
            </w:r>
          </w:p>
        </w:tc>
        <w:tc>
          <w:tcPr>
            <w:tcW w:w="700" w:type="dxa"/>
            <w:tcMar>
              <w:top w:w="0" w:type="dxa"/>
              <w:bottom w:w="0" w:type="dxa"/>
            </w:tcMar>
            <w:vAlign w:val="center"/>
          </w:tcPr>
          <w:p w14:paraId="703E5264" w14:textId="77777777" w:rsidR="002A33E0" w:rsidRDefault="00000000">
            <w:pPr>
              <w:keepNext/>
              <w:keepLines/>
              <w:spacing w:after="0" w:line="240" w:lineRule="auto"/>
            </w:pPr>
            <w:r>
              <w:rPr>
                <w:sz w:val="18"/>
              </w:rPr>
              <w:t>34</w:t>
            </w:r>
          </w:p>
        </w:tc>
        <w:tc>
          <w:tcPr>
            <w:tcW w:w="1860" w:type="dxa"/>
            <w:tcMar>
              <w:top w:w="0" w:type="dxa"/>
              <w:bottom w:w="0" w:type="dxa"/>
            </w:tcMar>
            <w:vAlign w:val="center"/>
          </w:tcPr>
          <w:p w14:paraId="21EBBB4B" w14:textId="77777777" w:rsidR="002A33E0" w:rsidRDefault="00000000">
            <w:pPr>
              <w:keepNext/>
              <w:keepLines/>
              <w:spacing w:after="0" w:line="240" w:lineRule="auto"/>
              <w:jc w:val="right"/>
            </w:pPr>
            <w:r>
              <w:rPr>
                <w:sz w:val="18"/>
              </w:rPr>
              <w:t>2.724,78</w:t>
            </w:r>
          </w:p>
        </w:tc>
        <w:tc>
          <w:tcPr>
            <w:tcW w:w="1860" w:type="dxa"/>
            <w:tcMar>
              <w:top w:w="0" w:type="dxa"/>
              <w:bottom w:w="0" w:type="dxa"/>
            </w:tcMar>
            <w:vAlign w:val="center"/>
          </w:tcPr>
          <w:p w14:paraId="6B7CF48D" w14:textId="77777777" w:rsidR="002A33E0" w:rsidRDefault="00000000">
            <w:pPr>
              <w:keepNext/>
              <w:keepLines/>
              <w:spacing w:after="0" w:line="240" w:lineRule="auto"/>
              <w:jc w:val="right"/>
            </w:pPr>
            <w:r>
              <w:rPr>
                <w:sz w:val="18"/>
              </w:rPr>
              <w:t>4.246,12</w:t>
            </w:r>
          </w:p>
        </w:tc>
        <w:tc>
          <w:tcPr>
            <w:tcW w:w="700" w:type="dxa"/>
            <w:tcMar>
              <w:top w:w="0" w:type="dxa"/>
              <w:bottom w:w="0" w:type="dxa"/>
            </w:tcMar>
            <w:vAlign w:val="center"/>
          </w:tcPr>
          <w:p w14:paraId="33BEA9ED" w14:textId="77777777" w:rsidR="002A33E0" w:rsidRDefault="00000000">
            <w:pPr>
              <w:keepNext/>
              <w:keepLines/>
              <w:spacing w:after="0" w:line="240" w:lineRule="auto"/>
              <w:jc w:val="right"/>
            </w:pPr>
            <w:r>
              <w:rPr>
                <w:sz w:val="18"/>
              </w:rPr>
              <w:t>155,8</w:t>
            </w:r>
          </w:p>
        </w:tc>
      </w:tr>
    </w:tbl>
    <w:p w14:paraId="24C03A96" w14:textId="77777777" w:rsidR="002A33E0" w:rsidRDefault="002A33E0">
      <w:pPr>
        <w:spacing w:after="0"/>
      </w:pPr>
    </w:p>
    <w:p w14:paraId="7D94444F" w14:textId="77777777" w:rsidR="002A33E0" w:rsidRDefault="00000000">
      <w:pPr>
        <w:spacing w:line="240" w:lineRule="auto"/>
        <w:jc w:val="both"/>
      </w:pPr>
      <w:r>
        <w:t>Financijski rashodi (šifra 34) izvršeni su u iznosu od 4.246,12 EUR što je za 55,80 % više u odnosu na isto razdoblje 2024. godine.   Povećanje izvršenja ove skupine rashoda u odnosu na isto razdoblje 2024. godine je značajno povećanje ostalih financijskih rashoda. Naime, radi se o naknadi za obradu kredita koje je Općina Ražanac podigla kod HBOR-a.</w:t>
      </w:r>
    </w:p>
    <w:p w14:paraId="3C0D9744" w14:textId="77777777" w:rsidR="002A33E0" w:rsidRDefault="002A33E0"/>
    <w:p w14:paraId="7070DC40" w14:textId="77777777" w:rsidR="002A33E0"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A33E0" w14:paraId="27BDAA2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4BE6735" w14:textId="77777777" w:rsidR="002A33E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78A1BB9" w14:textId="77777777" w:rsidR="002A33E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5635EA" w14:textId="77777777" w:rsidR="002A33E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5F2433" w14:textId="77777777" w:rsidR="002A33E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FCC2B2" w14:textId="77777777" w:rsidR="002A33E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C5FE67" w14:textId="77777777" w:rsidR="002A33E0" w:rsidRDefault="00000000">
            <w:pPr>
              <w:keepNext/>
              <w:keepLines/>
              <w:spacing w:after="0" w:line="240" w:lineRule="auto"/>
              <w:jc w:val="center"/>
            </w:pPr>
            <w:r>
              <w:rPr>
                <w:b/>
                <w:sz w:val="18"/>
              </w:rPr>
              <w:t>Indeks (%)</w:t>
            </w:r>
          </w:p>
        </w:tc>
      </w:tr>
      <w:tr w:rsidR="002A33E0" w14:paraId="13D5B263" w14:textId="77777777">
        <w:tblPrEx>
          <w:tblCellMar>
            <w:top w:w="0" w:type="dxa"/>
            <w:bottom w:w="0" w:type="dxa"/>
          </w:tblCellMar>
        </w:tblPrEx>
        <w:trPr>
          <w:cantSplit/>
          <w:trHeight w:val="560"/>
        </w:trPr>
        <w:tc>
          <w:tcPr>
            <w:tcW w:w="700" w:type="dxa"/>
            <w:tcMar>
              <w:top w:w="0" w:type="dxa"/>
              <w:bottom w:w="0" w:type="dxa"/>
            </w:tcMar>
            <w:vAlign w:val="center"/>
          </w:tcPr>
          <w:p w14:paraId="32359A39" w14:textId="77777777" w:rsidR="002A33E0" w:rsidRDefault="00000000">
            <w:pPr>
              <w:keepNext/>
              <w:keepLines/>
              <w:spacing w:after="0" w:line="240" w:lineRule="auto"/>
            </w:pPr>
            <w:r>
              <w:rPr>
                <w:sz w:val="18"/>
              </w:rPr>
              <w:t>36</w:t>
            </w:r>
          </w:p>
        </w:tc>
        <w:tc>
          <w:tcPr>
            <w:tcW w:w="3180" w:type="dxa"/>
            <w:tcMar>
              <w:top w:w="0" w:type="dxa"/>
              <w:bottom w:w="0" w:type="dxa"/>
            </w:tcMar>
            <w:vAlign w:val="center"/>
          </w:tcPr>
          <w:p w14:paraId="4D6A4071" w14:textId="77777777" w:rsidR="002A33E0" w:rsidRDefault="00000000">
            <w:pPr>
              <w:keepNext/>
              <w:keepLines/>
              <w:spacing w:after="0" w:line="240" w:lineRule="auto"/>
            </w:pPr>
            <w:r>
              <w:rPr>
                <w:sz w:val="18"/>
              </w:rPr>
              <w:t>Pomoći dane u inozemstvo i unutar općeg proračuna (šifre 361+362+363+365+366+367+368+369)</w:t>
            </w:r>
          </w:p>
        </w:tc>
        <w:tc>
          <w:tcPr>
            <w:tcW w:w="700" w:type="dxa"/>
            <w:tcMar>
              <w:top w:w="0" w:type="dxa"/>
              <w:bottom w:w="0" w:type="dxa"/>
            </w:tcMar>
            <w:vAlign w:val="center"/>
          </w:tcPr>
          <w:p w14:paraId="003710B0" w14:textId="77777777" w:rsidR="002A33E0" w:rsidRDefault="00000000">
            <w:pPr>
              <w:keepNext/>
              <w:keepLines/>
              <w:spacing w:after="0" w:line="240" w:lineRule="auto"/>
            </w:pPr>
            <w:r>
              <w:rPr>
                <w:sz w:val="18"/>
              </w:rPr>
              <w:t>36</w:t>
            </w:r>
          </w:p>
        </w:tc>
        <w:tc>
          <w:tcPr>
            <w:tcW w:w="1860" w:type="dxa"/>
            <w:tcMar>
              <w:top w:w="0" w:type="dxa"/>
              <w:bottom w:w="0" w:type="dxa"/>
            </w:tcMar>
            <w:vAlign w:val="center"/>
          </w:tcPr>
          <w:p w14:paraId="5B87D70C" w14:textId="77777777" w:rsidR="002A33E0" w:rsidRDefault="00000000">
            <w:pPr>
              <w:keepNext/>
              <w:keepLines/>
              <w:spacing w:after="0" w:line="240" w:lineRule="auto"/>
              <w:jc w:val="right"/>
            </w:pPr>
            <w:r>
              <w:rPr>
                <w:sz w:val="18"/>
              </w:rPr>
              <w:t>108.842,92</w:t>
            </w:r>
          </w:p>
        </w:tc>
        <w:tc>
          <w:tcPr>
            <w:tcW w:w="1860" w:type="dxa"/>
            <w:tcMar>
              <w:top w:w="0" w:type="dxa"/>
              <w:bottom w:w="0" w:type="dxa"/>
            </w:tcMar>
            <w:vAlign w:val="center"/>
          </w:tcPr>
          <w:p w14:paraId="0551E086" w14:textId="77777777" w:rsidR="002A33E0" w:rsidRDefault="00000000">
            <w:pPr>
              <w:keepNext/>
              <w:keepLines/>
              <w:spacing w:after="0" w:line="240" w:lineRule="auto"/>
              <w:jc w:val="right"/>
            </w:pPr>
            <w:r>
              <w:rPr>
                <w:sz w:val="18"/>
              </w:rPr>
              <w:t>141.622,06</w:t>
            </w:r>
          </w:p>
        </w:tc>
        <w:tc>
          <w:tcPr>
            <w:tcW w:w="700" w:type="dxa"/>
            <w:tcMar>
              <w:top w:w="0" w:type="dxa"/>
              <w:bottom w:w="0" w:type="dxa"/>
            </w:tcMar>
            <w:vAlign w:val="center"/>
          </w:tcPr>
          <w:p w14:paraId="311F2B87" w14:textId="77777777" w:rsidR="002A33E0" w:rsidRDefault="00000000">
            <w:pPr>
              <w:keepNext/>
              <w:keepLines/>
              <w:spacing w:after="0" w:line="240" w:lineRule="auto"/>
              <w:jc w:val="right"/>
            </w:pPr>
            <w:r>
              <w:rPr>
                <w:sz w:val="18"/>
              </w:rPr>
              <w:t>130,1</w:t>
            </w:r>
          </w:p>
        </w:tc>
      </w:tr>
    </w:tbl>
    <w:p w14:paraId="0829395D" w14:textId="77777777" w:rsidR="002A33E0" w:rsidRDefault="002A33E0">
      <w:pPr>
        <w:spacing w:after="0"/>
      </w:pPr>
    </w:p>
    <w:p w14:paraId="308A5D82" w14:textId="77777777" w:rsidR="002A33E0" w:rsidRDefault="00000000">
      <w:pPr>
        <w:spacing w:line="240" w:lineRule="auto"/>
        <w:jc w:val="both"/>
      </w:pPr>
      <w:r>
        <w:t>Pomoći dane u inozemstvo i unutar općeg proračuna (šifra 36) su izvršene u iznosu od 141.622,06 EUR što predstavlja povećanje od 30,10 % u odnosu na isto razdoblje 2024. godine. Ova vrsta rashoda ostvarena je kako slijedi: • Pomoći drugom proračunu i izvanproračunskim korisnicima u iznosu od 9.897,45 EUR, • Pomoći proračunskim korisnicima drugih proračuna u iznosu od 1.875,00 EUR, • Prijenos proračunskim korisnicima u iznosu od 129.849,61 EUR.  Prijenos proračunskim korisnicima najznačajnije je porastao u odnosu na isto razdoblje 2024. godine  dok su ostale podskupine na prošlogodišnjoj razini ili manje. Prijenos proračunskim korisnicima primarno je porastao zbog povećanja bruto plaća svim zaposlenicima proračunskih korisnika.</w:t>
      </w:r>
    </w:p>
    <w:p w14:paraId="47320AF5" w14:textId="77777777" w:rsidR="002A33E0" w:rsidRDefault="002A33E0"/>
    <w:p w14:paraId="65DB44D3" w14:textId="77777777" w:rsidR="002A33E0"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A33E0" w14:paraId="3C4E1EA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EC3B1B" w14:textId="77777777" w:rsidR="002A33E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CA4363A" w14:textId="77777777" w:rsidR="002A33E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C12A7C" w14:textId="77777777" w:rsidR="002A33E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87A19A" w14:textId="77777777" w:rsidR="002A33E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94F6084" w14:textId="77777777" w:rsidR="002A33E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36A469" w14:textId="77777777" w:rsidR="002A33E0" w:rsidRDefault="00000000">
            <w:pPr>
              <w:keepNext/>
              <w:keepLines/>
              <w:spacing w:after="0" w:line="240" w:lineRule="auto"/>
              <w:jc w:val="center"/>
            </w:pPr>
            <w:r>
              <w:rPr>
                <w:b/>
                <w:sz w:val="18"/>
              </w:rPr>
              <w:t>Indeks (%)</w:t>
            </w:r>
          </w:p>
        </w:tc>
      </w:tr>
      <w:tr w:rsidR="002A33E0" w14:paraId="7F0F63B0" w14:textId="77777777">
        <w:tblPrEx>
          <w:tblCellMar>
            <w:top w:w="0" w:type="dxa"/>
            <w:bottom w:w="0" w:type="dxa"/>
          </w:tblCellMar>
        </w:tblPrEx>
        <w:trPr>
          <w:cantSplit/>
          <w:trHeight w:val="560"/>
        </w:trPr>
        <w:tc>
          <w:tcPr>
            <w:tcW w:w="700" w:type="dxa"/>
            <w:tcMar>
              <w:top w:w="0" w:type="dxa"/>
              <w:bottom w:w="0" w:type="dxa"/>
            </w:tcMar>
            <w:vAlign w:val="center"/>
          </w:tcPr>
          <w:p w14:paraId="1BFB6DC0" w14:textId="77777777" w:rsidR="002A33E0" w:rsidRDefault="00000000">
            <w:pPr>
              <w:keepNext/>
              <w:keepLines/>
              <w:spacing w:after="0" w:line="240" w:lineRule="auto"/>
            </w:pPr>
            <w:r>
              <w:rPr>
                <w:sz w:val="18"/>
              </w:rPr>
              <w:t>37</w:t>
            </w:r>
          </w:p>
        </w:tc>
        <w:tc>
          <w:tcPr>
            <w:tcW w:w="3180" w:type="dxa"/>
            <w:tcMar>
              <w:top w:w="0" w:type="dxa"/>
              <w:bottom w:w="0" w:type="dxa"/>
            </w:tcMar>
            <w:vAlign w:val="center"/>
          </w:tcPr>
          <w:p w14:paraId="17AE1A3F" w14:textId="77777777" w:rsidR="002A33E0" w:rsidRDefault="00000000">
            <w:pPr>
              <w:keepNext/>
              <w:keepLines/>
              <w:spacing w:after="0" w:line="240" w:lineRule="auto"/>
            </w:pPr>
            <w:r>
              <w:rPr>
                <w:sz w:val="18"/>
              </w:rPr>
              <w:t>Naknade građanima i kućanstvima na temelju osiguranja i druge naknade (šifre 371+372)</w:t>
            </w:r>
          </w:p>
        </w:tc>
        <w:tc>
          <w:tcPr>
            <w:tcW w:w="700" w:type="dxa"/>
            <w:tcMar>
              <w:top w:w="0" w:type="dxa"/>
              <w:bottom w:w="0" w:type="dxa"/>
            </w:tcMar>
            <w:vAlign w:val="center"/>
          </w:tcPr>
          <w:p w14:paraId="0D319EE8" w14:textId="77777777" w:rsidR="002A33E0" w:rsidRDefault="00000000">
            <w:pPr>
              <w:keepNext/>
              <w:keepLines/>
              <w:spacing w:after="0" w:line="240" w:lineRule="auto"/>
            </w:pPr>
            <w:r>
              <w:rPr>
                <w:sz w:val="18"/>
              </w:rPr>
              <w:t>37</w:t>
            </w:r>
          </w:p>
        </w:tc>
        <w:tc>
          <w:tcPr>
            <w:tcW w:w="1860" w:type="dxa"/>
            <w:tcMar>
              <w:top w:w="0" w:type="dxa"/>
              <w:bottom w:w="0" w:type="dxa"/>
            </w:tcMar>
            <w:vAlign w:val="center"/>
          </w:tcPr>
          <w:p w14:paraId="43A9F0B7" w14:textId="77777777" w:rsidR="002A33E0" w:rsidRDefault="00000000">
            <w:pPr>
              <w:keepNext/>
              <w:keepLines/>
              <w:spacing w:after="0" w:line="240" w:lineRule="auto"/>
              <w:jc w:val="right"/>
            </w:pPr>
            <w:r>
              <w:rPr>
                <w:sz w:val="18"/>
              </w:rPr>
              <w:t>33.662,78</w:t>
            </w:r>
          </w:p>
        </w:tc>
        <w:tc>
          <w:tcPr>
            <w:tcW w:w="1860" w:type="dxa"/>
            <w:tcMar>
              <w:top w:w="0" w:type="dxa"/>
              <w:bottom w:w="0" w:type="dxa"/>
            </w:tcMar>
            <w:vAlign w:val="center"/>
          </w:tcPr>
          <w:p w14:paraId="69846C6D" w14:textId="77777777" w:rsidR="002A33E0" w:rsidRDefault="00000000">
            <w:pPr>
              <w:keepNext/>
              <w:keepLines/>
              <w:spacing w:after="0" w:line="240" w:lineRule="auto"/>
              <w:jc w:val="right"/>
            </w:pPr>
            <w:r>
              <w:rPr>
                <w:sz w:val="18"/>
              </w:rPr>
              <w:t>54.226,23</w:t>
            </w:r>
          </w:p>
        </w:tc>
        <w:tc>
          <w:tcPr>
            <w:tcW w:w="700" w:type="dxa"/>
            <w:tcMar>
              <w:top w:w="0" w:type="dxa"/>
              <w:bottom w:w="0" w:type="dxa"/>
            </w:tcMar>
            <w:vAlign w:val="center"/>
          </w:tcPr>
          <w:p w14:paraId="18408A89" w14:textId="77777777" w:rsidR="002A33E0" w:rsidRDefault="00000000">
            <w:pPr>
              <w:keepNext/>
              <w:keepLines/>
              <w:spacing w:after="0" w:line="240" w:lineRule="auto"/>
              <w:jc w:val="right"/>
            </w:pPr>
            <w:r>
              <w:rPr>
                <w:sz w:val="18"/>
              </w:rPr>
              <w:t>161,1</w:t>
            </w:r>
          </w:p>
        </w:tc>
      </w:tr>
    </w:tbl>
    <w:p w14:paraId="0C704071" w14:textId="77777777" w:rsidR="002A33E0" w:rsidRDefault="002A33E0">
      <w:pPr>
        <w:spacing w:after="0"/>
      </w:pPr>
    </w:p>
    <w:p w14:paraId="4964D8EF" w14:textId="77777777" w:rsidR="002A33E0" w:rsidRDefault="00000000">
      <w:pPr>
        <w:spacing w:line="240" w:lineRule="auto"/>
        <w:jc w:val="both"/>
      </w:pPr>
      <w:r>
        <w:t>Naknade građanima i kućanstvima na temelju osiguranja i druge naknade (šifra 37) izvršene su u iznosu od 54.226,23 EUR što je 61,10 % više u odnosu na isto razdoblje 2024. godine.   Naknade građanima i kućanstvima su porasle u značajnom iznosu zbog odluke da Općina Ražanac dodjeli pomoć za svako novorođeno dijete u iznosu od 1.000,00 eura godišnje do sedme godine života djeteta. Kako se ova odluka počela primjenjivati početkom 2024. godine suma je višestruko narasla zbog predaje zahtjeva (kojih je 30-ak godišnje) te isplate drugih rata prema sklopljenim ugovorima. Ovakav trend rasta očekuje se sedam godina uzastopno.</w:t>
      </w:r>
    </w:p>
    <w:p w14:paraId="3CE33745" w14:textId="77777777" w:rsidR="002A33E0" w:rsidRDefault="002A33E0"/>
    <w:p w14:paraId="73CC21DD" w14:textId="77777777" w:rsidR="002A33E0"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A33E0" w14:paraId="103586E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3C0648" w14:textId="77777777" w:rsidR="002A33E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EC9E0AF" w14:textId="77777777" w:rsidR="002A33E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BD5C08" w14:textId="77777777" w:rsidR="002A33E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80A388" w14:textId="77777777" w:rsidR="002A33E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0E5F5D" w14:textId="77777777" w:rsidR="002A33E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46D4D27" w14:textId="77777777" w:rsidR="002A33E0" w:rsidRDefault="00000000">
            <w:pPr>
              <w:keepNext/>
              <w:keepLines/>
              <w:spacing w:after="0" w:line="240" w:lineRule="auto"/>
              <w:jc w:val="center"/>
            </w:pPr>
            <w:r>
              <w:rPr>
                <w:b/>
                <w:sz w:val="18"/>
              </w:rPr>
              <w:t>Indeks (%)</w:t>
            </w:r>
          </w:p>
        </w:tc>
      </w:tr>
      <w:tr w:rsidR="002A33E0" w14:paraId="443A1501" w14:textId="77777777">
        <w:tblPrEx>
          <w:tblCellMar>
            <w:top w:w="0" w:type="dxa"/>
            <w:bottom w:w="0" w:type="dxa"/>
          </w:tblCellMar>
        </w:tblPrEx>
        <w:trPr>
          <w:cantSplit/>
          <w:trHeight w:val="560"/>
        </w:trPr>
        <w:tc>
          <w:tcPr>
            <w:tcW w:w="700" w:type="dxa"/>
            <w:tcMar>
              <w:top w:w="0" w:type="dxa"/>
              <w:bottom w:w="0" w:type="dxa"/>
            </w:tcMar>
            <w:vAlign w:val="center"/>
          </w:tcPr>
          <w:p w14:paraId="7084BBBB" w14:textId="77777777" w:rsidR="002A33E0" w:rsidRDefault="00000000">
            <w:pPr>
              <w:keepNext/>
              <w:keepLines/>
              <w:spacing w:after="0" w:line="240" w:lineRule="auto"/>
            </w:pPr>
            <w:r>
              <w:rPr>
                <w:sz w:val="18"/>
              </w:rPr>
              <w:t>38</w:t>
            </w:r>
          </w:p>
        </w:tc>
        <w:tc>
          <w:tcPr>
            <w:tcW w:w="3180" w:type="dxa"/>
            <w:tcMar>
              <w:top w:w="0" w:type="dxa"/>
              <w:bottom w:w="0" w:type="dxa"/>
            </w:tcMar>
            <w:vAlign w:val="center"/>
          </w:tcPr>
          <w:p w14:paraId="2F22EC25" w14:textId="77777777" w:rsidR="002A33E0" w:rsidRDefault="00000000">
            <w:pPr>
              <w:keepNext/>
              <w:keepLines/>
              <w:spacing w:after="0" w:line="240" w:lineRule="auto"/>
            </w:pPr>
            <w:r>
              <w:rPr>
                <w:sz w:val="18"/>
              </w:rPr>
              <w:t>Rashodi za donacije, kazne, naknade šteta i kapitalne pomoći (šifre 381+382+383+386)</w:t>
            </w:r>
          </w:p>
        </w:tc>
        <w:tc>
          <w:tcPr>
            <w:tcW w:w="700" w:type="dxa"/>
            <w:tcMar>
              <w:top w:w="0" w:type="dxa"/>
              <w:bottom w:w="0" w:type="dxa"/>
            </w:tcMar>
            <w:vAlign w:val="center"/>
          </w:tcPr>
          <w:p w14:paraId="69CA20FA" w14:textId="77777777" w:rsidR="002A33E0" w:rsidRDefault="00000000">
            <w:pPr>
              <w:keepNext/>
              <w:keepLines/>
              <w:spacing w:after="0" w:line="240" w:lineRule="auto"/>
            </w:pPr>
            <w:r>
              <w:rPr>
                <w:sz w:val="18"/>
              </w:rPr>
              <w:t>38</w:t>
            </w:r>
          </w:p>
        </w:tc>
        <w:tc>
          <w:tcPr>
            <w:tcW w:w="1860" w:type="dxa"/>
            <w:tcMar>
              <w:top w:w="0" w:type="dxa"/>
              <w:bottom w:w="0" w:type="dxa"/>
            </w:tcMar>
            <w:vAlign w:val="center"/>
          </w:tcPr>
          <w:p w14:paraId="0A601959" w14:textId="77777777" w:rsidR="002A33E0" w:rsidRDefault="00000000">
            <w:pPr>
              <w:keepNext/>
              <w:keepLines/>
              <w:spacing w:after="0" w:line="240" w:lineRule="auto"/>
              <w:jc w:val="right"/>
            </w:pPr>
            <w:r>
              <w:rPr>
                <w:sz w:val="18"/>
              </w:rPr>
              <w:t>69.971,95</w:t>
            </w:r>
          </w:p>
        </w:tc>
        <w:tc>
          <w:tcPr>
            <w:tcW w:w="1860" w:type="dxa"/>
            <w:tcMar>
              <w:top w:w="0" w:type="dxa"/>
              <w:bottom w:w="0" w:type="dxa"/>
            </w:tcMar>
            <w:vAlign w:val="center"/>
          </w:tcPr>
          <w:p w14:paraId="23B92ED8" w14:textId="77777777" w:rsidR="002A33E0" w:rsidRDefault="00000000">
            <w:pPr>
              <w:keepNext/>
              <w:keepLines/>
              <w:spacing w:after="0" w:line="240" w:lineRule="auto"/>
              <w:jc w:val="right"/>
            </w:pPr>
            <w:r>
              <w:rPr>
                <w:sz w:val="18"/>
              </w:rPr>
              <w:t>78.285,86</w:t>
            </w:r>
          </w:p>
        </w:tc>
        <w:tc>
          <w:tcPr>
            <w:tcW w:w="700" w:type="dxa"/>
            <w:tcMar>
              <w:top w:w="0" w:type="dxa"/>
              <w:bottom w:w="0" w:type="dxa"/>
            </w:tcMar>
            <w:vAlign w:val="center"/>
          </w:tcPr>
          <w:p w14:paraId="1246E133" w14:textId="77777777" w:rsidR="002A33E0" w:rsidRDefault="00000000">
            <w:pPr>
              <w:keepNext/>
              <w:keepLines/>
              <w:spacing w:after="0" w:line="240" w:lineRule="auto"/>
              <w:jc w:val="right"/>
            </w:pPr>
            <w:r>
              <w:rPr>
                <w:sz w:val="18"/>
              </w:rPr>
              <w:t>111,9</w:t>
            </w:r>
          </w:p>
        </w:tc>
      </w:tr>
    </w:tbl>
    <w:p w14:paraId="0344990A" w14:textId="77777777" w:rsidR="002A33E0" w:rsidRDefault="002A33E0">
      <w:pPr>
        <w:spacing w:after="0"/>
      </w:pPr>
    </w:p>
    <w:p w14:paraId="79AFC7A8" w14:textId="77777777" w:rsidR="002A33E0" w:rsidRDefault="00000000">
      <w:pPr>
        <w:spacing w:line="240" w:lineRule="auto"/>
        <w:jc w:val="both"/>
      </w:pPr>
      <w:r>
        <w:t>Rashodi za donacije, kazne, naknade šteta i kapitalne pomoći (šifra 38) izvršeni su u iznosu od 78.285,86 EUR ili za 11,90 % više u odnosu na isto izvještajno razdoblje 2024. godine.   Osnovni razlog povećanja ove skupine rashoda je donacija Turističkoj zajednici Općine Ražanac gdje je prva tranša predviđenih sredstava išla u prvom tromjesečju dok je prethodne godine to bilo u trećem tromjesečju. Također povećana su i izdvajanja za DVD Ražanac.</w:t>
      </w:r>
    </w:p>
    <w:p w14:paraId="678B6C9F" w14:textId="77777777" w:rsidR="002A33E0" w:rsidRDefault="002A33E0"/>
    <w:p w14:paraId="6AD2F297" w14:textId="77777777" w:rsidR="002A33E0"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A33E0" w14:paraId="6C32ADE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B17B19" w14:textId="77777777" w:rsidR="002A33E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CC4BD1" w14:textId="77777777" w:rsidR="002A33E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8573AF" w14:textId="77777777" w:rsidR="002A33E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B3C37D" w14:textId="77777777" w:rsidR="002A33E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5F4DC0" w14:textId="77777777" w:rsidR="002A33E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36C50F" w14:textId="77777777" w:rsidR="002A33E0" w:rsidRDefault="00000000">
            <w:pPr>
              <w:keepNext/>
              <w:keepLines/>
              <w:spacing w:after="0" w:line="240" w:lineRule="auto"/>
              <w:jc w:val="center"/>
            </w:pPr>
            <w:r>
              <w:rPr>
                <w:b/>
                <w:sz w:val="18"/>
              </w:rPr>
              <w:t>Indeks (%)</w:t>
            </w:r>
          </w:p>
        </w:tc>
      </w:tr>
      <w:tr w:rsidR="002A33E0" w14:paraId="628F98BF" w14:textId="77777777">
        <w:tblPrEx>
          <w:tblCellMar>
            <w:top w:w="0" w:type="dxa"/>
            <w:bottom w:w="0" w:type="dxa"/>
          </w:tblCellMar>
        </w:tblPrEx>
        <w:trPr>
          <w:cantSplit/>
          <w:trHeight w:val="560"/>
        </w:trPr>
        <w:tc>
          <w:tcPr>
            <w:tcW w:w="700" w:type="dxa"/>
            <w:tcMar>
              <w:top w:w="0" w:type="dxa"/>
              <w:bottom w:w="0" w:type="dxa"/>
            </w:tcMar>
            <w:vAlign w:val="center"/>
          </w:tcPr>
          <w:p w14:paraId="6F45A458" w14:textId="77777777" w:rsidR="002A33E0" w:rsidRDefault="00000000">
            <w:pPr>
              <w:keepNext/>
              <w:keepLines/>
              <w:spacing w:after="0" w:line="240" w:lineRule="auto"/>
            </w:pPr>
            <w:r>
              <w:rPr>
                <w:sz w:val="18"/>
              </w:rPr>
              <w:t>92211</w:t>
            </w:r>
          </w:p>
        </w:tc>
        <w:tc>
          <w:tcPr>
            <w:tcW w:w="3180" w:type="dxa"/>
            <w:tcMar>
              <w:top w:w="0" w:type="dxa"/>
              <w:bottom w:w="0" w:type="dxa"/>
            </w:tcMar>
            <w:vAlign w:val="center"/>
          </w:tcPr>
          <w:p w14:paraId="5DBEBDE0" w14:textId="77777777" w:rsidR="002A33E0" w:rsidRDefault="00000000">
            <w:pPr>
              <w:keepNext/>
              <w:keepLines/>
              <w:spacing w:after="0" w:line="240" w:lineRule="auto"/>
            </w:pPr>
            <w:r>
              <w:rPr>
                <w:sz w:val="18"/>
              </w:rPr>
              <w:t>Višak prihoda poslovanja - preneseni</w:t>
            </w:r>
          </w:p>
        </w:tc>
        <w:tc>
          <w:tcPr>
            <w:tcW w:w="700" w:type="dxa"/>
            <w:tcMar>
              <w:top w:w="0" w:type="dxa"/>
              <w:bottom w:w="0" w:type="dxa"/>
            </w:tcMar>
            <w:vAlign w:val="center"/>
          </w:tcPr>
          <w:p w14:paraId="79872897" w14:textId="77777777" w:rsidR="002A33E0" w:rsidRDefault="00000000">
            <w:pPr>
              <w:keepNext/>
              <w:keepLines/>
              <w:spacing w:after="0" w:line="240" w:lineRule="auto"/>
            </w:pPr>
            <w:r>
              <w:rPr>
                <w:sz w:val="18"/>
              </w:rPr>
              <w:t>92211</w:t>
            </w:r>
          </w:p>
        </w:tc>
        <w:tc>
          <w:tcPr>
            <w:tcW w:w="1860" w:type="dxa"/>
            <w:tcMar>
              <w:top w:w="0" w:type="dxa"/>
              <w:bottom w:w="0" w:type="dxa"/>
            </w:tcMar>
            <w:vAlign w:val="center"/>
          </w:tcPr>
          <w:p w14:paraId="512D307A" w14:textId="77777777" w:rsidR="002A33E0" w:rsidRDefault="00000000">
            <w:pPr>
              <w:keepNext/>
              <w:keepLines/>
              <w:spacing w:after="0" w:line="240" w:lineRule="auto"/>
              <w:jc w:val="right"/>
            </w:pPr>
            <w:r>
              <w:rPr>
                <w:sz w:val="18"/>
              </w:rPr>
              <w:t>1.224.511,60</w:t>
            </w:r>
          </w:p>
        </w:tc>
        <w:tc>
          <w:tcPr>
            <w:tcW w:w="1860" w:type="dxa"/>
            <w:tcMar>
              <w:top w:w="0" w:type="dxa"/>
              <w:bottom w:w="0" w:type="dxa"/>
            </w:tcMar>
            <w:vAlign w:val="center"/>
          </w:tcPr>
          <w:p w14:paraId="4DA98978" w14:textId="77777777" w:rsidR="002A33E0" w:rsidRDefault="00000000">
            <w:pPr>
              <w:keepNext/>
              <w:keepLines/>
              <w:spacing w:after="0" w:line="240" w:lineRule="auto"/>
              <w:jc w:val="right"/>
            </w:pPr>
            <w:r>
              <w:rPr>
                <w:sz w:val="18"/>
              </w:rPr>
              <w:t>1.322.770,60</w:t>
            </w:r>
          </w:p>
        </w:tc>
        <w:tc>
          <w:tcPr>
            <w:tcW w:w="700" w:type="dxa"/>
            <w:tcMar>
              <w:top w:w="0" w:type="dxa"/>
              <w:bottom w:w="0" w:type="dxa"/>
            </w:tcMar>
            <w:vAlign w:val="center"/>
          </w:tcPr>
          <w:p w14:paraId="7C0B8F91" w14:textId="77777777" w:rsidR="002A33E0" w:rsidRDefault="00000000">
            <w:pPr>
              <w:keepNext/>
              <w:keepLines/>
              <w:spacing w:after="0" w:line="240" w:lineRule="auto"/>
              <w:jc w:val="right"/>
            </w:pPr>
            <w:r>
              <w:rPr>
                <w:sz w:val="18"/>
              </w:rPr>
              <w:t>108,0</w:t>
            </w:r>
          </w:p>
        </w:tc>
      </w:tr>
    </w:tbl>
    <w:p w14:paraId="39E3C6F5" w14:textId="77777777" w:rsidR="002A33E0" w:rsidRDefault="002A33E0">
      <w:pPr>
        <w:spacing w:after="0"/>
      </w:pPr>
    </w:p>
    <w:p w14:paraId="72546A3C" w14:textId="77777777" w:rsidR="002A33E0" w:rsidRDefault="00000000">
      <w:pPr>
        <w:spacing w:line="240" w:lineRule="auto"/>
        <w:jc w:val="both"/>
      </w:pPr>
      <w:r>
        <w:t>Tijekom 2024. godine ostvaren je višak prihoda poslovanja u iznosu od 1.322.770,60 EUR koji će se rasporediti tijekom 2025. godine. Ostvareni višak prihoda poslovanja je za 8 % veći u odnosu na prethodnu godinu.</w:t>
      </w:r>
    </w:p>
    <w:p w14:paraId="2B7C79B5" w14:textId="77777777" w:rsidR="002A33E0" w:rsidRDefault="002A33E0"/>
    <w:p w14:paraId="6155DC9C" w14:textId="77777777" w:rsidR="002A33E0" w:rsidRDefault="00000000">
      <w:pPr>
        <w:keepNext/>
        <w:spacing w:line="240" w:lineRule="auto"/>
        <w:jc w:val="center"/>
      </w:pPr>
      <w:r>
        <w:rPr>
          <w:sz w:val="28"/>
        </w:rPr>
        <w:lastRenderedPageBreak/>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A33E0" w14:paraId="1FEB8A6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5FD2DEE" w14:textId="77777777" w:rsidR="002A33E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D7D475" w14:textId="77777777" w:rsidR="002A33E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FE73E9" w14:textId="77777777" w:rsidR="002A33E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B1583B" w14:textId="77777777" w:rsidR="002A33E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892BE2D" w14:textId="77777777" w:rsidR="002A33E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96B005" w14:textId="77777777" w:rsidR="002A33E0" w:rsidRDefault="00000000">
            <w:pPr>
              <w:keepNext/>
              <w:keepLines/>
              <w:spacing w:after="0" w:line="240" w:lineRule="auto"/>
              <w:jc w:val="center"/>
            </w:pPr>
            <w:r>
              <w:rPr>
                <w:b/>
                <w:sz w:val="18"/>
              </w:rPr>
              <w:t>Indeks (%)</w:t>
            </w:r>
          </w:p>
        </w:tc>
      </w:tr>
      <w:tr w:rsidR="002A33E0" w14:paraId="40A35B41" w14:textId="77777777">
        <w:tblPrEx>
          <w:tblCellMar>
            <w:top w:w="0" w:type="dxa"/>
            <w:bottom w:w="0" w:type="dxa"/>
          </w:tblCellMar>
        </w:tblPrEx>
        <w:trPr>
          <w:cantSplit/>
          <w:trHeight w:val="560"/>
        </w:trPr>
        <w:tc>
          <w:tcPr>
            <w:tcW w:w="700" w:type="dxa"/>
            <w:tcMar>
              <w:top w:w="0" w:type="dxa"/>
              <w:bottom w:w="0" w:type="dxa"/>
            </w:tcMar>
            <w:vAlign w:val="center"/>
          </w:tcPr>
          <w:p w14:paraId="2A298269" w14:textId="77777777" w:rsidR="002A33E0" w:rsidRDefault="00000000">
            <w:pPr>
              <w:keepNext/>
              <w:keepLines/>
              <w:spacing w:after="0" w:line="240" w:lineRule="auto"/>
            </w:pPr>
            <w:r>
              <w:rPr>
                <w:sz w:val="18"/>
              </w:rPr>
              <w:t>7</w:t>
            </w:r>
          </w:p>
        </w:tc>
        <w:tc>
          <w:tcPr>
            <w:tcW w:w="3180" w:type="dxa"/>
            <w:tcMar>
              <w:top w:w="0" w:type="dxa"/>
              <w:bottom w:w="0" w:type="dxa"/>
            </w:tcMar>
            <w:vAlign w:val="center"/>
          </w:tcPr>
          <w:p w14:paraId="157CCCB1" w14:textId="77777777" w:rsidR="002A33E0"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6FC54DE8" w14:textId="77777777" w:rsidR="002A33E0" w:rsidRDefault="00000000">
            <w:pPr>
              <w:keepNext/>
              <w:keepLines/>
              <w:spacing w:after="0" w:line="240" w:lineRule="auto"/>
            </w:pPr>
            <w:r>
              <w:rPr>
                <w:sz w:val="18"/>
              </w:rPr>
              <w:t>7</w:t>
            </w:r>
          </w:p>
        </w:tc>
        <w:tc>
          <w:tcPr>
            <w:tcW w:w="1860" w:type="dxa"/>
            <w:tcMar>
              <w:top w:w="0" w:type="dxa"/>
              <w:bottom w:w="0" w:type="dxa"/>
            </w:tcMar>
            <w:vAlign w:val="center"/>
          </w:tcPr>
          <w:p w14:paraId="7F4AB28A" w14:textId="77777777" w:rsidR="002A33E0" w:rsidRDefault="00000000">
            <w:pPr>
              <w:keepNext/>
              <w:keepLines/>
              <w:spacing w:after="0" w:line="240" w:lineRule="auto"/>
              <w:jc w:val="right"/>
            </w:pPr>
            <w:r>
              <w:rPr>
                <w:sz w:val="18"/>
              </w:rPr>
              <w:t>331.267,20</w:t>
            </w:r>
          </w:p>
        </w:tc>
        <w:tc>
          <w:tcPr>
            <w:tcW w:w="1860" w:type="dxa"/>
            <w:tcMar>
              <w:top w:w="0" w:type="dxa"/>
              <w:bottom w:w="0" w:type="dxa"/>
            </w:tcMar>
            <w:vAlign w:val="center"/>
          </w:tcPr>
          <w:p w14:paraId="6FB062AC" w14:textId="77777777" w:rsidR="002A33E0" w:rsidRDefault="00000000">
            <w:pPr>
              <w:keepNext/>
              <w:keepLines/>
              <w:spacing w:after="0" w:line="240" w:lineRule="auto"/>
              <w:jc w:val="right"/>
            </w:pPr>
            <w:r>
              <w:rPr>
                <w:sz w:val="18"/>
              </w:rPr>
              <w:t>12.446,01</w:t>
            </w:r>
          </w:p>
        </w:tc>
        <w:tc>
          <w:tcPr>
            <w:tcW w:w="700" w:type="dxa"/>
            <w:tcMar>
              <w:top w:w="0" w:type="dxa"/>
              <w:bottom w:w="0" w:type="dxa"/>
            </w:tcMar>
            <w:vAlign w:val="center"/>
          </w:tcPr>
          <w:p w14:paraId="5CC65B24" w14:textId="77777777" w:rsidR="002A33E0" w:rsidRDefault="00000000">
            <w:pPr>
              <w:keepNext/>
              <w:keepLines/>
              <w:spacing w:after="0" w:line="240" w:lineRule="auto"/>
              <w:jc w:val="right"/>
            </w:pPr>
            <w:r>
              <w:rPr>
                <w:sz w:val="18"/>
              </w:rPr>
              <w:t>3,8</w:t>
            </w:r>
          </w:p>
        </w:tc>
      </w:tr>
    </w:tbl>
    <w:p w14:paraId="55F0AB06" w14:textId="77777777" w:rsidR="002A33E0" w:rsidRDefault="002A33E0">
      <w:pPr>
        <w:spacing w:after="0"/>
      </w:pPr>
    </w:p>
    <w:p w14:paraId="0CDDD9ED" w14:textId="77777777" w:rsidR="002A33E0" w:rsidRDefault="00000000">
      <w:pPr>
        <w:spacing w:line="240" w:lineRule="auto"/>
        <w:jc w:val="both"/>
      </w:pPr>
      <w:r>
        <w:t>Prihodi od prodaje nefinancijske imovine (šifra 7) ostvareni su u iznosu  12.446,01 EUR što je za 96,20 % manje u odnosu na isto razdoblje 2024. godine.</w:t>
      </w:r>
    </w:p>
    <w:p w14:paraId="35FE1D49" w14:textId="77777777" w:rsidR="002A33E0" w:rsidRDefault="002A33E0"/>
    <w:p w14:paraId="70B6383B" w14:textId="77777777" w:rsidR="002A33E0"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A33E0" w14:paraId="290C823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9830EA" w14:textId="77777777" w:rsidR="002A33E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E992FAF" w14:textId="77777777" w:rsidR="002A33E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C752FF" w14:textId="77777777" w:rsidR="002A33E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C7D561" w14:textId="77777777" w:rsidR="002A33E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51D4C9" w14:textId="77777777" w:rsidR="002A33E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15D0819" w14:textId="77777777" w:rsidR="002A33E0" w:rsidRDefault="00000000">
            <w:pPr>
              <w:keepNext/>
              <w:keepLines/>
              <w:spacing w:after="0" w:line="240" w:lineRule="auto"/>
              <w:jc w:val="center"/>
            </w:pPr>
            <w:r>
              <w:rPr>
                <w:b/>
                <w:sz w:val="18"/>
              </w:rPr>
              <w:t>Indeks (%)</w:t>
            </w:r>
          </w:p>
        </w:tc>
      </w:tr>
      <w:tr w:rsidR="002A33E0" w14:paraId="51CA1075" w14:textId="77777777">
        <w:tblPrEx>
          <w:tblCellMar>
            <w:top w:w="0" w:type="dxa"/>
            <w:bottom w:w="0" w:type="dxa"/>
          </w:tblCellMar>
        </w:tblPrEx>
        <w:trPr>
          <w:cantSplit/>
          <w:trHeight w:val="560"/>
        </w:trPr>
        <w:tc>
          <w:tcPr>
            <w:tcW w:w="700" w:type="dxa"/>
            <w:tcMar>
              <w:top w:w="0" w:type="dxa"/>
              <w:bottom w:w="0" w:type="dxa"/>
            </w:tcMar>
            <w:vAlign w:val="center"/>
          </w:tcPr>
          <w:p w14:paraId="5FEB8D35" w14:textId="77777777" w:rsidR="002A33E0" w:rsidRDefault="00000000">
            <w:pPr>
              <w:keepNext/>
              <w:keepLines/>
              <w:spacing w:after="0" w:line="240" w:lineRule="auto"/>
            </w:pPr>
            <w:r>
              <w:rPr>
                <w:sz w:val="18"/>
              </w:rPr>
              <w:t>71</w:t>
            </w:r>
          </w:p>
        </w:tc>
        <w:tc>
          <w:tcPr>
            <w:tcW w:w="3180" w:type="dxa"/>
            <w:tcMar>
              <w:top w:w="0" w:type="dxa"/>
              <w:bottom w:w="0" w:type="dxa"/>
            </w:tcMar>
            <w:vAlign w:val="center"/>
          </w:tcPr>
          <w:p w14:paraId="6A950A4F" w14:textId="77777777" w:rsidR="002A33E0" w:rsidRDefault="00000000">
            <w:pPr>
              <w:keepNext/>
              <w:keepLines/>
              <w:spacing w:after="0" w:line="240" w:lineRule="auto"/>
            </w:pPr>
            <w:r>
              <w:rPr>
                <w:sz w:val="18"/>
              </w:rPr>
              <w:t xml:space="preserve">Prihodi od prodaje </w:t>
            </w:r>
            <w:proofErr w:type="spellStart"/>
            <w:r>
              <w:rPr>
                <w:sz w:val="18"/>
              </w:rPr>
              <w:t>neproizvedene</w:t>
            </w:r>
            <w:proofErr w:type="spellEnd"/>
            <w:r>
              <w:rPr>
                <w:sz w:val="18"/>
              </w:rPr>
              <w:t xml:space="preserve"> dugotrajne imovine (šifre 711+712)</w:t>
            </w:r>
          </w:p>
        </w:tc>
        <w:tc>
          <w:tcPr>
            <w:tcW w:w="700" w:type="dxa"/>
            <w:tcMar>
              <w:top w:w="0" w:type="dxa"/>
              <w:bottom w:w="0" w:type="dxa"/>
            </w:tcMar>
            <w:vAlign w:val="center"/>
          </w:tcPr>
          <w:p w14:paraId="72B973A7" w14:textId="77777777" w:rsidR="002A33E0" w:rsidRDefault="00000000">
            <w:pPr>
              <w:keepNext/>
              <w:keepLines/>
              <w:spacing w:after="0" w:line="240" w:lineRule="auto"/>
            </w:pPr>
            <w:r>
              <w:rPr>
                <w:sz w:val="18"/>
              </w:rPr>
              <w:t>71</w:t>
            </w:r>
          </w:p>
        </w:tc>
        <w:tc>
          <w:tcPr>
            <w:tcW w:w="1860" w:type="dxa"/>
            <w:tcMar>
              <w:top w:w="0" w:type="dxa"/>
              <w:bottom w:w="0" w:type="dxa"/>
            </w:tcMar>
            <w:vAlign w:val="center"/>
          </w:tcPr>
          <w:p w14:paraId="4F96D0A4" w14:textId="77777777" w:rsidR="002A33E0" w:rsidRDefault="00000000">
            <w:pPr>
              <w:keepNext/>
              <w:keepLines/>
              <w:spacing w:after="0" w:line="240" w:lineRule="auto"/>
              <w:jc w:val="right"/>
            </w:pPr>
            <w:r>
              <w:rPr>
                <w:sz w:val="18"/>
              </w:rPr>
              <w:t>331.267,20</w:t>
            </w:r>
          </w:p>
        </w:tc>
        <w:tc>
          <w:tcPr>
            <w:tcW w:w="1860" w:type="dxa"/>
            <w:tcMar>
              <w:top w:w="0" w:type="dxa"/>
              <w:bottom w:w="0" w:type="dxa"/>
            </w:tcMar>
            <w:vAlign w:val="center"/>
          </w:tcPr>
          <w:p w14:paraId="67CF10E5" w14:textId="77777777" w:rsidR="002A33E0" w:rsidRDefault="00000000">
            <w:pPr>
              <w:keepNext/>
              <w:keepLines/>
              <w:spacing w:after="0" w:line="240" w:lineRule="auto"/>
              <w:jc w:val="right"/>
            </w:pPr>
            <w:r>
              <w:rPr>
                <w:sz w:val="18"/>
              </w:rPr>
              <w:t>12.446,01</w:t>
            </w:r>
          </w:p>
        </w:tc>
        <w:tc>
          <w:tcPr>
            <w:tcW w:w="700" w:type="dxa"/>
            <w:tcMar>
              <w:top w:w="0" w:type="dxa"/>
              <w:bottom w:w="0" w:type="dxa"/>
            </w:tcMar>
            <w:vAlign w:val="center"/>
          </w:tcPr>
          <w:p w14:paraId="0DC821EC" w14:textId="77777777" w:rsidR="002A33E0" w:rsidRDefault="00000000">
            <w:pPr>
              <w:keepNext/>
              <w:keepLines/>
              <w:spacing w:after="0" w:line="240" w:lineRule="auto"/>
              <w:jc w:val="right"/>
            </w:pPr>
            <w:r>
              <w:rPr>
                <w:sz w:val="18"/>
              </w:rPr>
              <w:t>3,8</w:t>
            </w:r>
          </w:p>
        </w:tc>
      </w:tr>
    </w:tbl>
    <w:p w14:paraId="4FE63B69" w14:textId="77777777" w:rsidR="002A33E0" w:rsidRDefault="002A33E0">
      <w:pPr>
        <w:spacing w:after="0"/>
      </w:pPr>
    </w:p>
    <w:p w14:paraId="4E81FBFE" w14:textId="77777777" w:rsidR="002A33E0" w:rsidRDefault="00000000">
      <w:pPr>
        <w:spacing w:line="240" w:lineRule="auto"/>
        <w:jc w:val="both"/>
      </w:pPr>
      <w:r>
        <w:t xml:space="preserve">Prihodi od prodaje </w:t>
      </w:r>
      <w:proofErr w:type="spellStart"/>
      <w:r>
        <w:t>neproizvedene</w:t>
      </w:r>
      <w:proofErr w:type="spellEnd"/>
      <w:r>
        <w:t xml:space="preserve"> dugotrajne imovine (šifra 71) značajno su manji zbog toga što do kraja prvog tromjesečja elaborati nisu izrađeni te se nije moglo pristupiti prodaji nefinancijske imovine. Porast ove vrste prihoda očekuje se u drugoj polovici 2025. godine.</w:t>
      </w:r>
    </w:p>
    <w:p w14:paraId="6BAD18BC" w14:textId="77777777" w:rsidR="002A33E0" w:rsidRDefault="002A33E0"/>
    <w:p w14:paraId="6A9ADFDA" w14:textId="77777777" w:rsidR="002A33E0"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A33E0" w14:paraId="72714AD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28A9C44" w14:textId="77777777" w:rsidR="002A33E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A99B006" w14:textId="77777777" w:rsidR="002A33E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02AF6B" w14:textId="77777777" w:rsidR="002A33E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108286" w14:textId="77777777" w:rsidR="002A33E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B6C22AD" w14:textId="77777777" w:rsidR="002A33E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7B1214" w14:textId="77777777" w:rsidR="002A33E0" w:rsidRDefault="00000000">
            <w:pPr>
              <w:keepNext/>
              <w:keepLines/>
              <w:spacing w:after="0" w:line="240" w:lineRule="auto"/>
              <w:jc w:val="center"/>
            </w:pPr>
            <w:r>
              <w:rPr>
                <w:b/>
                <w:sz w:val="18"/>
              </w:rPr>
              <w:t>Indeks (%)</w:t>
            </w:r>
          </w:p>
        </w:tc>
      </w:tr>
      <w:tr w:rsidR="002A33E0" w14:paraId="0F75F980" w14:textId="77777777">
        <w:tblPrEx>
          <w:tblCellMar>
            <w:top w:w="0" w:type="dxa"/>
            <w:bottom w:w="0" w:type="dxa"/>
          </w:tblCellMar>
        </w:tblPrEx>
        <w:trPr>
          <w:cantSplit/>
          <w:trHeight w:val="560"/>
        </w:trPr>
        <w:tc>
          <w:tcPr>
            <w:tcW w:w="700" w:type="dxa"/>
            <w:tcMar>
              <w:top w:w="0" w:type="dxa"/>
              <w:bottom w:w="0" w:type="dxa"/>
            </w:tcMar>
            <w:vAlign w:val="center"/>
          </w:tcPr>
          <w:p w14:paraId="7F507E61" w14:textId="77777777" w:rsidR="002A33E0" w:rsidRDefault="00000000">
            <w:pPr>
              <w:keepNext/>
              <w:keepLines/>
              <w:spacing w:after="0" w:line="240" w:lineRule="auto"/>
            </w:pPr>
            <w:r>
              <w:rPr>
                <w:sz w:val="18"/>
              </w:rPr>
              <w:t>4</w:t>
            </w:r>
          </w:p>
        </w:tc>
        <w:tc>
          <w:tcPr>
            <w:tcW w:w="3180" w:type="dxa"/>
            <w:tcMar>
              <w:top w:w="0" w:type="dxa"/>
              <w:bottom w:w="0" w:type="dxa"/>
            </w:tcMar>
            <w:vAlign w:val="center"/>
          </w:tcPr>
          <w:p w14:paraId="4E0D47A6" w14:textId="77777777" w:rsidR="002A33E0"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6E82813F" w14:textId="77777777" w:rsidR="002A33E0" w:rsidRDefault="00000000">
            <w:pPr>
              <w:keepNext/>
              <w:keepLines/>
              <w:spacing w:after="0" w:line="240" w:lineRule="auto"/>
            </w:pPr>
            <w:r>
              <w:rPr>
                <w:sz w:val="18"/>
              </w:rPr>
              <w:t>4</w:t>
            </w:r>
          </w:p>
        </w:tc>
        <w:tc>
          <w:tcPr>
            <w:tcW w:w="1860" w:type="dxa"/>
            <w:tcMar>
              <w:top w:w="0" w:type="dxa"/>
              <w:bottom w:w="0" w:type="dxa"/>
            </w:tcMar>
            <w:vAlign w:val="center"/>
          </w:tcPr>
          <w:p w14:paraId="1FA534D7" w14:textId="77777777" w:rsidR="002A33E0" w:rsidRDefault="00000000">
            <w:pPr>
              <w:keepNext/>
              <w:keepLines/>
              <w:spacing w:after="0" w:line="240" w:lineRule="auto"/>
              <w:jc w:val="right"/>
            </w:pPr>
            <w:r>
              <w:rPr>
                <w:sz w:val="18"/>
              </w:rPr>
              <w:t>699.286,97</w:t>
            </w:r>
          </w:p>
        </w:tc>
        <w:tc>
          <w:tcPr>
            <w:tcW w:w="1860" w:type="dxa"/>
            <w:tcMar>
              <w:top w:w="0" w:type="dxa"/>
              <w:bottom w:w="0" w:type="dxa"/>
            </w:tcMar>
            <w:vAlign w:val="center"/>
          </w:tcPr>
          <w:p w14:paraId="1FE8E5C3" w14:textId="77777777" w:rsidR="002A33E0" w:rsidRDefault="00000000">
            <w:pPr>
              <w:keepNext/>
              <w:keepLines/>
              <w:spacing w:after="0" w:line="240" w:lineRule="auto"/>
              <w:jc w:val="right"/>
            </w:pPr>
            <w:r>
              <w:rPr>
                <w:sz w:val="18"/>
              </w:rPr>
              <w:t>1.307.987,83</w:t>
            </w:r>
          </w:p>
        </w:tc>
        <w:tc>
          <w:tcPr>
            <w:tcW w:w="700" w:type="dxa"/>
            <w:tcMar>
              <w:top w:w="0" w:type="dxa"/>
              <w:bottom w:w="0" w:type="dxa"/>
            </w:tcMar>
            <w:vAlign w:val="center"/>
          </w:tcPr>
          <w:p w14:paraId="44C33285" w14:textId="77777777" w:rsidR="002A33E0" w:rsidRDefault="00000000">
            <w:pPr>
              <w:keepNext/>
              <w:keepLines/>
              <w:spacing w:after="0" w:line="240" w:lineRule="auto"/>
              <w:jc w:val="right"/>
            </w:pPr>
            <w:r>
              <w:rPr>
                <w:sz w:val="18"/>
              </w:rPr>
              <w:t>187,0</w:t>
            </w:r>
          </w:p>
        </w:tc>
      </w:tr>
    </w:tbl>
    <w:p w14:paraId="3BF16D88" w14:textId="77777777" w:rsidR="002A33E0" w:rsidRDefault="002A33E0">
      <w:pPr>
        <w:spacing w:after="0"/>
      </w:pPr>
    </w:p>
    <w:p w14:paraId="3803BF91" w14:textId="77777777" w:rsidR="002A33E0" w:rsidRDefault="00000000">
      <w:pPr>
        <w:spacing w:line="240" w:lineRule="auto"/>
        <w:jc w:val="both"/>
      </w:pPr>
      <w:r>
        <w:t>Rashodi za nabavu nefinancijske imovine izvršeni su u iznosu od 1.307.987,83 EUR što je za 87,00 % više u odnosu na isto razdoblje 2024. godine.</w:t>
      </w:r>
    </w:p>
    <w:p w14:paraId="02D8EA42" w14:textId="77777777" w:rsidR="002A33E0" w:rsidRDefault="002A33E0"/>
    <w:p w14:paraId="569F8B84" w14:textId="77777777" w:rsidR="002A33E0"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A33E0" w14:paraId="4CA1288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B820DF" w14:textId="77777777" w:rsidR="002A33E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FD1D44A" w14:textId="77777777" w:rsidR="002A33E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CA0D73" w14:textId="77777777" w:rsidR="002A33E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72C434" w14:textId="77777777" w:rsidR="002A33E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EDDC70C" w14:textId="77777777" w:rsidR="002A33E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29EE1F" w14:textId="77777777" w:rsidR="002A33E0" w:rsidRDefault="00000000">
            <w:pPr>
              <w:keepNext/>
              <w:keepLines/>
              <w:spacing w:after="0" w:line="240" w:lineRule="auto"/>
              <w:jc w:val="center"/>
            </w:pPr>
            <w:r>
              <w:rPr>
                <w:b/>
                <w:sz w:val="18"/>
              </w:rPr>
              <w:t>Indeks (%)</w:t>
            </w:r>
          </w:p>
        </w:tc>
      </w:tr>
      <w:tr w:rsidR="002A33E0" w14:paraId="24DD6FF2" w14:textId="77777777">
        <w:tblPrEx>
          <w:tblCellMar>
            <w:top w:w="0" w:type="dxa"/>
            <w:bottom w:w="0" w:type="dxa"/>
          </w:tblCellMar>
        </w:tblPrEx>
        <w:trPr>
          <w:cantSplit/>
          <w:trHeight w:val="560"/>
        </w:trPr>
        <w:tc>
          <w:tcPr>
            <w:tcW w:w="700" w:type="dxa"/>
            <w:tcMar>
              <w:top w:w="0" w:type="dxa"/>
              <w:bottom w:w="0" w:type="dxa"/>
            </w:tcMar>
            <w:vAlign w:val="center"/>
          </w:tcPr>
          <w:p w14:paraId="5D9B9F79" w14:textId="77777777" w:rsidR="002A33E0" w:rsidRDefault="00000000">
            <w:pPr>
              <w:keepNext/>
              <w:keepLines/>
              <w:spacing w:after="0" w:line="240" w:lineRule="auto"/>
            </w:pPr>
            <w:r>
              <w:rPr>
                <w:sz w:val="18"/>
              </w:rPr>
              <w:t>41</w:t>
            </w:r>
          </w:p>
        </w:tc>
        <w:tc>
          <w:tcPr>
            <w:tcW w:w="3180" w:type="dxa"/>
            <w:tcMar>
              <w:top w:w="0" w:type="dxa"/>
              <w:bottom w:w="0" w:type="dxa"/>
            </w:tcMar>
            <w:vAlign w:val="center"/>
          </w:tcPr>
          <w:p w14:paraId="3641D128" w14:textId="77777777" w:rsidR="002A33E0" w:rsidRDefault="00000000">
            <w:pPr>
              <w:keepNext/>
              <w:keepLines/>
              <w:spacing w:after="0" w:line="240" w:lineRule="auto"/>
            </w:pPr>
            <w:r>
              <w:rPr>
                <w:sz w:val="18"/>
              </w:rPr>
              <w:t xml:space="preserve">Rashodi za nabavu </w:t>
            </w:r>
            <w:proofErr w:type="spellStart"/>
            <w:r>
              <w:rPr>
                <w:sz w:val="18"/>
              </w:rPr>
              <w:t>neproizvedene</w:t>
            </w:r>
            <w:proofErr w:type="spellEnd"/>
            <w:r>
              <w:rPr>
                <w:sz w:val="18"/>
              </w:rPr>
              <w:t xml:space="preserve"> dugotrajne imovine (šifre 411+412)</w:t>
            </w:r>
          </w:p>
        </w:tc>
        <w:tc>
          <w:tcPr>
            <w:tcW w:w="700" w:type="dxa"/>
            <w:tcMar>
              <w:top w:w="0" w:type="dxa"/>
              <w:bottom w:w="0" w:type="dxa"/>
            </w:tcMar>
            <w:vAlign w:val="center"/>
          </w:tcPr>
          <w:p w14:paraId="1601AA19" w14:textId="77777777" w:rsidR="002A33E0" w:rsidRDefault="00000000">
            <w:pPr>
              <w:keepNext/>
              <w:keepLines/>
              <w:spacing w:after="0" w:line="240" w:lineRule="auto"/>
            </w:pPr>
            <w:r>
              <w:rPr>
                <w:sz w:val="18"/>
              </w:rPr>
              <w:t>41</w:t>
            </w:r>
          </w:p>
        </w:tc>
        <w:tc>
          <w:tcPr>
            <w:tcW w:w="1860" w:type="dxa"/>
            <w:tcMar>
              <w:top w:w="0" w:type="dxa"/>
              <w:bottom w:w="0" w:type="dxa"/>
            </w:tcMar>
            <w:vAlign w:val="center"/>
          </w:tcPr>
          <w:p w14:paraId="58E74E42" w14:textId="77777777" w:rsidR="002A33E0" w:rsidRDefault="00000000">
            <w:pPr>
              <w:keepNext/>
              <w:keepLines/>
              <w:spacing w:after="0" w:line="240" w:lineRule="auto"/>
              <w:jc w:val="right"/>
            </w:pPr>
            <w:r>
              <w:rPr>
                <w:sz w:val="18"/>
              </w:rPr>
              <w:t>69.518,50</w:t>
            </w:r>
          </w:p>
        </w:tc>
        <w:tc>
          <w:tcPr>
            <w:tcW w:w="1860" w:type="dxa"/>
            <w:tcMar>
              <w:top w:w="0" w:type="dxa"/>
              <w:bottom w:w="0" w:type="dxa"/>
            </w:tcMar>
            <w:vAlign w:val="center"/>
          </w:tcPr>
          <w:p w14:paraId="3CB21743" w14:textId="77777777" w:rsidR="002A33E0" w:rsidRDefault="00000000">
            <w:pPr>
              <w:keepNext/>
              <w:keepLines/>
              <w:spacing w:after="0" w:line="240" w:lineRule="auto"/>
              <w:jc w:val="right"/>
            </w:pPr>
            <w:r>
              <w:rPr>
                <w:sz w:val="18"/>
              </w:rPr>
              <w:t>18.029,75</w:t>
            </w:r>
          </w:p>
        </w:tc>
        <w:tc>
          <w:tcPr>
            <w:tcW w:w="700" w:type="dxa"/>
            <w:tcMar>
              <w:top w:w="0" w:type="dxa"/>
              <w:bottom w:w="0" w:type="dxa"/>
            </w:tcMar>
            <w:vAlign w:val="center"/>
          </w:tcPr>
          <w:p w14:paraId="173344A7" w14:textId="77777777" w:rsidR="002A33E0" w:rsidRDefault="00000000">
            <w:pPr>
              <w:keepNext/>
              <w:keepLines/>
              <w:spacing w:after="0" w:line="240" w:lineRule="auto"/>
              <w:jc w:val="right"/>
            </w:pPr>
            <w:r>
              <w:rPr>
                <w:sz w:val="18"/>
              </w:rPr>
              <w:t>25,9</w:t>
            </w:r>
          </w:p>
        </w:tc>
      </w:tr>
    </w:tbl>
    <w:p w14:paraId="5E1C5002" w14:textId="77777777" w:rsidR="002A33E0" w:rsidRDefault="002A33E0">
      <w:pPr>
        <w:spacing w:after="0"/>
      </w:pPr>
    </w:p>
    <w:p w14:paraId="7F36464C" w14:textId="77777777" w:rsidR="002A33E0" w:rsidRDefault="00000000">
      <w:pPr>
        <w:spacing w:line="240" w:lineRule="auto"/>
        <w:jc w:val="both"/>
      </w:pPr>
      <w:r>
        <w:t xml:space="preserve">Rashodi za nabavu </w:t>
      </w:r>
      <w:proofErr w:type="spellStart"/>
      <w:r>
        <w:t>neproizvedene</w:t>
      </w:r>
      <w:proofErr w:type="spellEnd"/>
      <w:r>
        <w:t xml:space="preserve"> dugotrajne imovine (šifra 41) izvršeni su u iznosu od 18.029,75 EUR što je smanjenje od 74,10 % u odnosu na isto razdoblje 2024. godine.</w:t>
      </w:r>
    </w:p>
    <w:p w14:paraId="6033CF30" w14:textId="77777777" w:rsidR="002A33E0" w:rsidRDefault="002A33E0"/>
    <w:p w14:paraId="3EA04EC3" w14:textId="77777777" w:rsidR="002A33E0" w:rsidRDefault="00000000">
      <w:pPr>
        <w:keepNext/>
        <w:spacing w:line="240" w:lineRule="auto"/>
        <w:jc w:val="center"/>
      </w:pPr>
      <w:r>
        <w:rPr>
          <w:sz w:val="28"/>
        </w:rPr>
        <w:lastRenderedPageBreak/>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A33E0" w14:paraId="7445D8D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6FA5F04" w14:textId="77777777" w:rsidR="002A33E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E1BDD90" w14:textId="77777777" w:rsidR="002A33E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0FD799" w14:textId="77777777" w:rsidR="002A33E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ECCD9" w14:textId="77777777" w:rsidR="002A33E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954028" w14:textId="77777777" w:rsidR="002A33E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CAEF2A" w14:textId="77777777" w:rsidR="002A33E0" w:rsidRDefault="00000000">
            <w:pPr>
              <w:keepNext/>
              <w:keepLines/>
              <w:spacing w:after="0" w:line="240" w:lineRule="auto"/>
              <w:jc w:val="center"/>
            </w:pPr>
            <w:r>
              <w:rPr>
                <w:b/>
                <w:sz w:val="18"/>
              </w:rPr>
              <w:t>Indeks (%)</w:t>
            </w:r>
          </w:p>
        </w:tc>
      </w:tr>
      <w:tr w:rsidR="002A33E0" w14:paraId="4B4BDF29" w14:textId="77777777">
        <w:tblPrEx>
          <w:tblCellMar>
            <w:top w:w="0" w:type="dxa"/>
            <w:bottom w:w="0" w:type="dxa"/>
          </w:tblCellMar>
        </w:tblPrEx>
        <w:trPr>
          <w:cantSplit/>
          <w:trHeight w:val="560"/>
        </w:trPr>
        <w:tc>
          <w:tcPr>
            <w:tcW w:w="700" w:type="dxa"/>
            <w:tcMar>
              <w:top w:w="0" w:type="dxa"/>
              <w:bottom w:w="0" w:type="dxa"/>
            </w:tcMar>
            <w:vAlign w:val="center"/>
          </w:tcPr>
          <w:p w14:paraId="369B8EC0" w14:textId="77777777" w:rsidR="002A33E0" w:rsidRDefault="00000000">
            <w:pPr>
              <w:keepNext/>
              <w:keepLines/>
              <w:spacing w:after="0" w:line="240" w:lineRule="auto"/>
            </w:pPr>
            <w:r>
              <w:rPr>
                <w:sz w:val="18"/>
              </w:rPr>
              <w:t>42</w:t>
            </w:r>
          </w:p>
        </w:tc>
        <w:tc>
          <w:tcPr>
            <w:tcW w:w="3180" w:type="dxa"/>
            <w:tcMar>
              <w:top w:w="0" w:type="dxa"/>
              <w:bottom w:w="0" w:type="dxa"/>
            </w:tcMar>
            <w:vAlign w:val="center"/>
          </w:tcPr>
          <w:p w14:paraId="08C01C44" w14:textId="77777777" w:rsidR="002A33E0" w:rsidRDefault="00000000">
            <w:pPr>
              <w:keepNext/>
              <w:keepLines/>
              <w:spacing w:after="0" w:line="240" w:lineRule="auto"/>
            </w:pPr>
            <w:r>
              <w:rPr>
                <w:sz w:val="18"/>
              </w:rPr>
              <w:t>Rashodi za nabavu proizvedene dugotrajne imovine (šifre 421+422+423+424+425+426)</w:t>
            </w:r>
          </w:p>
        </w:tc>
        <w:tc>
          <w:tcPr>
            <w:tcW w:w="700" w:type="dxa"/>
            <w:tcMar>
              <w:top w:w="0" w:type="dxa"/>
              <w:bottom w:w="0" w:type="dxa"/>
            </w:tcMar>
            <w:vAlign w:val="center"/>
          </w:tcPr>
          <w:p w14:paraId="4D091F3D" w14:textId="77777777" w:rsidR="002A33E0" w:rsidRDefault="00000000">
            <w:pPr>
              <w:keepNext/>
              <w:keepLines/>
              <w:spacing w:after="0" w:line="240" w:lineRule="auto"/>
            </w:pPr>
            <w:r>
              <w:rPr>
                <w:sz w:val="18"/>
              </w:rPr>
              <w:t>42</w:t>
            </w:r>
          </w:p>
        </w:tc>
        <w:tc>
          <w:tcPr>
            <w:tcW w:w="1860" w:type="dxa"/>
            <w:tcMar>
              <w:top w:w="0" w:type="dxa"/>
              <w:bottom w:w="0" w:type="dxa"/>
            </w:tcMar>
            <w:vAlign w:val="center"/>
          </w:tcPr>
          <w:p w14:paraId="72004C63" w14:textId="77777777" w:rsidR="002A33E0" w:rsidRDefault="00000000">
            <w:pPr>
              <w:keepNext/>
              <w:keepLines/>
              <w:spacing w:after="0" w:line="240" w:lineRule="auto"/>
              <w:jc w:val="right"/>
            </w:pPr>
            <w:r>
              <w:rPr>
                <w:sz w:val="18"/>
              </w:rPr>
              <w:t>576.207,54</w:t>
            </w:r>
          </w:p>
        </w:tc>
        <w:tc>
          <w:tcPr>
            <w:tcW w:w="1860" w:type="dxa"/>
            <w:tcMar>
              <w:top w:w="0" w:type="dxa"/>
              <w:bottom w:w="0" w:type="dxa"/>
            </w:tcMar>
            <w:vAlign w:val="center"/>
          </w:tcPr>
          <w:p w14:paraId="107F5B04" w14:textId="77777777" w:rsidR="002A33E0" w:rsidRDefault="00000000">
            <w:pPr>
              <w:keepNext/>
              <w:keepLines/>
              <w:spacing w:after="0" w:line="240" w:lineRule="auto"/>
              <w:jc w:val="right"/>
            </w:pPr>
            <w:r>
              <w:rPr>
                <w:sz w:val="18"/>
              </w:rPr>
              <w:t>1.182.177,76</w:t>
            </w:r>
          </w:p>
        </w:tc>
        <w:tc>
          <w:tcPr>
            <w:tcW w:w="700" w:type="dxa"/>
            <w:tcMar>
              <w:top w:w="0" w:type="dxa"/>
              <w:bottom w:w="0" w:type="dxa"/>
            </w:tcMar>
            <w:vAlign w:val="center"/>
          </w:tcPr>
          <w:p w14:paraId="00D37569" w14:textId="77777777" w:rsidR="002A33E0" w:rsidRDefault="00000000">
            <w:pPr>
              <w:keepNext/>
              <w:keepLines/>
              <w:spacing w:after="0" w:line="240" w:lineRule="auto"/>
              <w:jc w:val="right"/>
            </w:pPr>
            <w:r>
              <w:rPr>
                <w:sz w:val="18"/>
              </w:rPr>
              <w:t>205,2</w:t>
            </w:r>
          </w:p>
        </w:tc>
      </w:tr>
    </w:tbl>
    <w:p w14:paraId="38BD1392" w14:textId="77777777" w:rsidR="002A33E0" w:rsidRDefault="002A33E0">
      <w:pPr>
        <w:spacing w:after="0"/>
      </w:pPr>
    </w:p>
    <w:p w14:paraId="48A487A7" w14:textId="77777777" w:rsidR="002A33E0" w:rsidRDefault="00000000">
      <w:pPr>
        <w:spacing w:line="240" w:lineRule="auto"/>
        <w:jc w:val="both"/>
      </w:pPr>
      <w:r>
        <w:t>Rashodi za nabavu proizvedene dugotrajne imovine (šifra 42) izvršeni su u iznosu od 1.182.177,76 EUR što je povećanje od 105,20 % u odnosu na isto razdoblje 2024. godine. Ova vrsta rashoda izvršena je kako slijedi: • Građevinski objekti u iznosu od 1.132.772,46 EUR, • Postrojenja i oprema u iznosu od 17.030,30 EUR, • Nematerijalna proizvedena imovina u iznosu od 32.375,00 EUR</w:t>
      </w:r>
    </w:p>
    <w:p w14:paraId="6AF4F3AC" w14:textId="77777777" w:rsidR="002A33E0" w:rsidRDefault="002A33E0"/>
    <w:p w14:paraId="5234FDCD" w14:textId="77777777" w:rsidR="002A33E0"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A33E0" w14:paraId="519D297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F9861A" w14:textId="77777777" w:rsidR="002A33E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09A6B1C" w14:textId="77777777" w:rsidR="002A33E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0BFEF2" w14:textId="77777777" w:rsidR="002A33E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40415D" w14:textId="77777777" w:rsidR="002A33E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185024" w14:textId="77777777" w:rsidR="002A33E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5C78099" w14:textId="77777777" w:rsidR="002A33E0" w:rsidRDefault="00000000">
            <w:pPr>
              <w:keepNext/>
              <w:keepLines/>
              <w:spacing w:after="0" w:line="240" w:lineRule="auto"/>
              <w:jc w:val="center"/>
            </w:pPr>
            <w:r>
              <w:rPr>
                <w:b/>
                <w:sz w:val="18"/>
              </w:rPr>
              <w:t>Indeks (%)</w:t>
            </w:r>
          </w:p>
        </w:tc>
      </w:tr>
      <w:tr w:rsidR="002A33E0" w14:paraId="4E68EBC4" w14:textId="77777777">
        <w:tblPrEx>
          <w:tblCellMar>
            <w:top w:w="0" w:type="dxa"/>
            <w:bottom w:w="0" w:type="dxa"/>
          </w:tblCellMar>
        </w:tblPrEx>
        <w:trPr>
          <w:cantSplit/>
          <w:trHeight w:val="560"/>
        </w:trPr>
        <w:tc>
          <w:tcPr>
            <w:tcW w:w="700" w:type="dxa"/>
            <w:tcMar>
              <w:top w:w="0" w:type="dxa"/>
              <w:bottom w:w="0" w:type="dxa"/>
            </w:tcMar>
            <w:vAlign w:val="center"/>
          </w:tcPr>
          <w:p w14:paraId="154BFFA4" w14:textId="77777777" w:rsidR="002A33E0" w:rsidRDefault="00000000">
            <w:pPr>
              <w:keepNext/>
              <w:keepLines/>
              <w:spacing w:after="0" w:line="240" w:lineRule="auto"/>
            </w:pPr>
            <w:r>
              <w:rPr>
                <w:sz w:val="18"/>
              </w:rPr>
              <w:t>45</w:t>
            </w:r>
          </w:p>
        </w:tc>
        <w:tc>
          <w:tcPr>
            <w:tcW w:w="3180" w:type="dxa"/>
            <w:tcMar>
              <w:top w:w="0" w:type="dxa"/>
              <w:bottom w:w="0" w:type="dxa"/>
            </w:tcMar>
            <w:vAlign w:val="center"/>
          </w:tcPr>
          <w:p w14:paraId="1F9AE868" w14:textId="77777777" w:rsidR="002A33E0" w:rsidRDefault="00000000">
            <w:pPr>
              <w:keepNext/>
              <w:keepLines/>
              <w:spacing w:after="0" w:line="240" w:lineRule="auto"/>
            </w:pPr>
            <w:r>
              <w:rPr>
                <w:sz w:val="18"/>
              </w:rPr>
              <w:t>Rashodi za dodatna ulaganja na nefinancijskoj imovini (šifre 451 do 454)</w:t>
            </w:r>
          </w:p>
        </w:tc>
        <w:tc>
          <w:tcPr>
            <w:tcW w:w="700" w:type="dxa"/>
            <w:tcMar>
              <w:top w:w="0" w:type="dxa"/>
              <w:bottom w:w="0" w:type="dxa"/>
            </w:tcMar>
            <w:vAlign w:val="center"/>
          </w:tcPr>
          <w:p w14:paraId="14D2AF9B" w14:textId="77777777" w:rsidR="002A33E0" w:rsidRDefault="00000000">
            <w:pPr>
              <w:keepNext/>
              <w:keepLines/>
              <w:spacing w:after="0" w:line="240" w:lineRule="auto"/>
            </w:pPr>
            <w:r>
              <w:rPr>
                <w:sz w:val="18"/>
              </w:rPr>
              <w:t>45</w:t>
            </w:r>
          </w:p>
        </w:tc>
        <w:tc>
          <w:tcPr>
            <w:tcW w:w="1860" w:type="dxa"/>
            <w:tcMar>
              <w:top w:w="0" w:type="dxa"/>
              <w:bottom w:w="0" w:type="dxa"/>
            </w:tcMar>
            <w:vAlign w:val="center"/>
          </w:tcPr>
          <w:p w14:paraId="71A78E45" w14:textId="77777777" w:rsidR="002A33E0" w:rsidRDefault="00000000">
            <w:pPr>
              <w:keepNext/>
              <w:keepLines/>
              <w:spacing w:after="0" w:line="240" w:lineRule="auto"/>
              <w:jc w:val="right"/>
            </w:pPr>
            <w:r>
              <w:rPr>
                <w:sz w:val="18"/>
              </w:rPr>
              <w:t>53.560,93</w:t>
            </w:r>
          </w:p>
        </w:tc>
        <w:tc>
          <w:tcPr>
            <w:tcW w:w="1860" w:type="dxa"/>
            <w:tcMar>
              <w:top w:w="0" w:type="dxa"/>
              <w:bottom w:w="0" w:type="dxa"/>
            </w:tcMar>
            <w:vAlign w:val="center"/>
          </w:tcPr>
          <w:p w14:paraId="4409D96A" w14:textId="77777777" w:rsidR="002A33E0" w:rsidRDefault="00000000">
            <w:pPr>
              <w:keepNext/>
              <w:keepLines/>
              <w:spacing w:after="0" w:line="240" w:lineRule="auto"/>
              <w:jc w:val="right"/>
            </w:pPr>
            <w:r>
              <w:rPr>
                <w:sz w:val="18"/>
              </w:rPr>
              <w:t>107.780,32</w:t>
            </w:r>
          </w:p>
        </w:tc>
        <w:tc>
          <w:tcPr>
            <w:tcW w:w="700" w:type="dxa"/>
            <w:tcMar>
              <w:top w:w="0" w:type="dxa"/>
              <w:bottom w:w="0" w:type="dxa"/>
            </w:tcMar>
            <w:vAlign w:val="center"/>
          </w:tcPr>
          <w:p w14:paraId="48E68429" w14:textId="77777777" w:rsidR="002A33E0" w:rsidRDefault="00000000">
            <w:pPr>
              <w:keepNext/>
              <w:keepLines/>
              <w:spacing w:after="0" w:line="240" w:lineRule="auto"/>
              <w:jc w:val="right"/>
            </w:pPr>
            <w:r>
              <w:rPr>
                <w:sz w:val="18"/>
              </w:rPr>
              <w:t>201,2</w:t>
            </w:r>
          </w:p>
        </w:tc>
      </w:tr>
    </w:tbl>
    <w:p w14:paraId="2A2993FF" w14:textId="77777777" w:rsidR="002A33E0" w:rsidRDefault="002A33E0">
      <w:pPr>
        <w:spacing w:after="0"/>
      </w:pPr>
    </w:p>
    <w:p w14:paraId="181F76A7" w14:textId="77777777" w:rsidR="002A33E0" w:rsidRDefault="00000000">
      <w:pPr>
        <w:spacing w:line="240" w:lineRule="auto"/>
        <w:jc w:val="both"/>
      </w:pPr>
      <w:r>
        <w:t>Rashodi za dodatna ulaganja na nefinancijskoj imovini (šifra 45) izvršeni su u iznosu od 107.780,32 EUR što je povećanje za 101,20 % u odnosu na isto razdoblje 2024. godine. Razlog značajnog povećanja kod ove skupine je intenzivnija dinamika obnove zgrade društvenog doma koja je započela u drugoj polovici 2024. godine.</w:t>
      </w:r>
    </w:p>
    <w:p w14:paraId="0A17B66B" w14:textId="77777777" w:rsidR="002A33E0" w:rsidRDefault="002A33E0"/>
    <w:p w14:paraId="4ABDE0DE" w14:textId="77777777" w:rsidR="002A33E0"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A33E0" w14:paraId="01B8520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686EC0" w14:textId="77777777" w:rsidR="002A33E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E6DAE3D" w14:textId="77777777" w:rsidR="002A33E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C248FA" w14:textId="77777777" w:rsidR="002A33E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769177" w14:textId="77777777" w:rsidR="002A33E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B73243" w14:textId="77777777" w:rsidR="002A33E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0FF85F" w14:textId="77777777" w:rsidR="002A33E0" w:rsidRDefault="00000000">
            <w:pPr>
              <w:keepNext/>
              <w:keepLines/>
              <w:spacing w:after="0" w:line="240" w:lineRule="auto"/>
              <w:jc w:val="center"/>
            </w:pPr>
            <w:r>
              <w:rPr>
                <w:b/>
                <w:sz w:val="18"/>
              </w:rPr>
              <w:t>Indeks (%)</w:t>
            </w:r>
          </w:p>
        </w:tc>
      </w:tr>
      <w:tr w:rsidR="002A33E0" w14:paraId="6F618E77" w14:textId="77777777">
        <w:tblPrEx>
          <w:tblCellMar>
            <w:top w:w="0" w:type="dxa"/>
            <w:bottom w:w="0" w:type="dxa"/>
          </w:tblCellMar>
        </w:tblPrEx>
        <w:trPr>
          <w:cantSplit/>
          <w:trHeight w:val="560"/>
        </w:trPr>
        <w:tc>
          <w:tcPr>
            <w:tcW w:w="700" w:type="dxa"/>
            <w:tcMar>
              <w:top w:w="0" w:type="dxa"/>
              <w:bottom w:w="0" w:type="dxa"/>
            </w:tcMar>
            <w:vAlign w:val="center"/>
          </w:tcPr>
          <w:p w14:paraId="172F46D0" w14:textId="77777777" w:rsidR="002A33E0" w:rsidRDefault="002A33E0">
            <w:pPr>
              <w:keepNext/>
              <w:keepLines/>
              <w:spacing w:after="0" w:line="240" w:lineRule="auto"/>
            </w:pPr>
          </w:p>
        </w:tc>
        <w:tc>
          <w:tcPr>
            <w:tcW w:w="3180" w:type="dxa"/>
            <w:tcMar>
              <w:top w:w="0" w:type="dxa"/>
              <w:bottom w:w="0" w:type="dxa"/>
            </w:tcMar>
            <w:vAlign w:val="center"/>
          </w:tcPr>
          <w:p w14:paraId="0BBC4780" w14:textId="77777777" w:rsidR="002A33E0" w:rsidRDefault="00000000">
            <w:pPr>
              <w:keepNext/>
              <w:keepLines/>
              <w:spacing w:after="0" w:line="240" w:lineRule="auto"/>
            </w:pPr>
            <w:r>
              <w:rPr>
                <w:sz w:val="18"/>
              </w:rPr>
              <w:t>UKUPAN MANJAK PRIHODA (šifre Y034-X067)</w:t>
            </w:r>
          </w:p>
        </w:tc>
        <w:tc>
          <w:tcPr>
            <w:tcW w:w="700" w:type="dxa"/>
            <w:tcMar>
              <w:top w:w="0" w:type="dxa"/>
              <w:bottom w:w="0" w:type="dxa"/>
            </w:tcMar>
            <w:vAlign w:val="center"/>
          </w:tcPr>
          <w:p w14:paraId="510FAAE1" w14:textId="77777777" w:rsidR="002A33E0" w:rsidRDefault="00000000">
            <w:pPr>
              <w:keepNext/>
              <w:keepLines/>
              <w:spacing w:after="0" w:line="240" w:lineRule="auto"/>
            </w:pPr>
            <w:r>
              <w:rPr>
                <w:sz w:val="18"/>
              </w:rPr>
              <w:t>Y004</w:t>
            </w:r>
          </w:p>
        </w:tc>
        <w:tc>
          <w:tcPr>
            <w:tcW w:w="1860" w:type="dxa"/>
            <w:tcMar>
              <w:top w:w="0" w:type="dxa"/>
              <w:bottom w:w="0" w:type="dxa"/>
            </w:tcMar>
            <w:vAlign w:val="center"/>
          </w:tcPr>
          <w:p w14:paraId="611B481D" w14:textId="77777777" w:rsidR="002A33E0" w:rsidRDefault="00000000">
            <w:pPr>
              <w:keepNext/>
              <w:keepLines/>
              <w:spacing w:after="0" w:line="240" w:lineRule="auto"/>
              <w:jc w:val="right"/>
            </w:pPr>
            <w:r>
              <w:rPr>
                <w:sz w:val="18"/>
              </w:rPr>
              <w:t>0,00</w:t>
            </w:r>
          </w:p>
        </w:tc>
        <w:tc>
          <w:tcPr>
            <w:tcW w:w="1860" w:type="dxa"/>
            <w:tcMar>
              <w:top w:w="0" w:type="dxa"/>
              <w:bottom w:w="0" w:type="dxa"/>
            </w:tcMar>
            <w:vAlign w:val="center"/>
          </w:tcPr>
          <w:p w14:paraId="6EAA5A39" w14:textId="77777777" w:rsidR="002A33E0" w:rsidRDefault="00000000">
            <w:pPr>
              <w:keepNext/>
              <w:keepLines/>
              <w:spacing w:after="0" w:line="240" w:lineRule="auto"/>
              <w:jc w:val="right"/>
            </w:pPr>
            <w:r>
              <w:rPr>
                <w:sz w:val="18"/>
              </w:rPr>
              <w:t>1.132.547,51</w:t>
            </w:r>
          </w:p>
        </w:tc>
        <w:tc>
          <w:tcPr>
            <w:tcW w:w="700" w:type="dxa"/>
            <w:tcMar>
              <w:top w:w="0" w:type="dxa"/>
              <w:bottom w:w="0" w:type="dxa"/>
            </w:tcMar>
            <w:vAlign w:val="center"/>
          </w:tcPr>
          <w:p w14:paraId="185426CF" w14:textId="77777777" w:rsidR="002A33E0" w:rsidRDefault="00000000">
            <w:pPr>
              <w:keepNext/>
              <w:keepLines/>
              <w:spacing w:after="0" w:line="240" w:lineRule="auto"/>
              <w:jc w:val="right"/>
            </w:pPr>
            <w:r>
              <w:rPr>
                <w:sz w:val="18"/>
              </w:rPr>
              <w:t>-</w:t>
            </w:r>
          </w:p>
        </w:tc>
      </w:tr>
    </w:tbl>
    <w:p w14:paraId="0CA35F13" w14:textId="77777777" w:rsidR="002A33E0" w:rsidRDefault="002A33E0">
      <w:pPr>
        <w:spacing w:after="0"/>
      </w:pPr>
    </w:p>
    <w:p w14:paraId="7283087B" w14:textId="77777777" w:rsidR="002A33E0" w:rsidRDefault="00000000">
      <w:pPr>
        <w:spacing w:line="240" w:lineRule="auto"/>
        <w:jc w:val="both"/>
      </w:pPr>
      <w:r>
        <w:t>Tokom izvještajnog razdoblja ostvaren je ukupni manjak prihoda u iznosu od 1.132.547,51 EUR. Glavni razlog zbog kojega je ostvaren manjak prihoda je taj što se intenzivnije radilo na izgradnji i održavanju komunalne infrastrukture što se financiralo iz viška prihoda i primitaka prenesenog iz 2024. godine.</w:t>
      </w:r>
    </w:p>
    <w:p w14:paraId="27E959CF" w14:textId="77777777" w:rsidR="002A33E0" w:rsidRDefault="002A33E0"/>
    <w:p w14:paraId="3E272F3E" w14:textId="77777777" w:rsidR="002A33E0"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A33E0" w14:paraId="66C9421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4C3D96" w14:textId="77777777" w:rsidR="002A33E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7E351BA" w14:textId="77777777" w:rsidR="002A33E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C302D2" w14:textId="77777777" w:rsidR="002A33E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50079F" w14:textId="77777777" w:rsidR="002A33E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3414B69" w14:textId="77777777" w:rsidR="002A33E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AF6BD4E" w14:textId="77777777" w:rsidR="002A33E0" w:rsidRDefault="00000000">
            <w:pPr>
              <w:keepNext/>
              <w:keepLines/>
              <w:spacing w:after="0" w:line="240" w:lineRule="auto"/>
              <w:jc w:val="center"/>
            </w:pPr>
            <w:r>
              <w:rPr>
                <w:b/>
                <w:sz w:val="18"/>
              </w:rPr>
              <w:t>Indeks (%)</w:t>
            </w:r>
          </w:p>
        </w:tc>
      </w:tr>
      <w:tr w:rsidR="002A33E0" w14:paraId="18E2DE5F" w14:textId="77777777">
        <w:tblPrEx>
          <w:tblCellMar>
            <w:top w:w="0" w:type="dxa"/>
            <w:bottom w:w="0" w:type="dxa"/>
          </w:tblCellMar>
        </w:tblPrEx>
        <w:trPr>
          <w:cantSplit/>
          <w:trHeight w:val="560"/>
        </w:trPr>
        <w:tc>
          <w:tcPr>
            <w:tcW w:w="700" w:type="dxa"/>
            <w:tcMar>
              <w:top w:w="0" w:type="dxa"/>
              <w:bottom w:w="0" w:type="dxa"/>
            </w:tcMar>
            <w:vAlign w:val="center"/>
          </w:tcPr>
          <w:p w14:paraId="51F9345C" w14:textId="77777777" w:rsidR="002A33E0" w:rsidRDefault="002A33E0">
            <w:pPr>
              <w:keepNext/>
              <w:keepLines/>
              <w:spacing w:after="0" w:line="240" w:lineRule="auto"/>
            </w:pPr>
          </w:p>
        </w:tc>
        <w:tc>
          <w:tcPr>
            <w:tcW w:w="3180" w:type="dxa"/>
            <w:tcMar>
              <w:top w:w="0" w:type="dxa"/>
              <w:bottom w:w="0" w:type="dxa"/>
            </w:tcMar>
            <w:vAlign w:val="center"/>
          </w:tcPr>
          <w:p w14:paraId="605A9C9D" w14:textId="77777777" w:rsidR="002A33E0" w:rsidRDefault="00000000">
            <w:pPr>
              <w:keepNext/>
              <w:keepLines/>
              <w:spacing w:after="0" w:line="240" w:lineRule="auto"/>
            </w:pPr>
            <w:r>
              <w:rPr>
                <w:sz w:val="18"/>
              </w:rPr>
              <w:t>MANJAK PRIHODA I PRIMITAKA (šifre Y345-X678)</w:t>
            </w:r>
          </w:p>
        </w:tc>
        <w:tc>
          <w:tcPr>
            <w:tcW w:w="700" w:type="dxa"/>
            <w:tcMar>
              <w:top w:w="0" w:type="dxa"/>
              <w:bottom w:w="0" w:type="dxa"/>
            </w:tcMar>
            <w:vAlign w:val="center"/>
          </w:tcPr>
          <w:p w14:paraId="0F372228" w14:textId="77777777" w:rsidR="002A33E0" w:rsidRDefault="00000000">
            <w:pPr>
              <w:keepNext/>
              <w:keepLines/>
              <w:spacing w:after="0" w:line="240" w:lineRule="auto"/>
            </w:pPr>
            <w:r>
              <w:rPr>
                <w:sz w:val="18"/>
              </w:rPr>
              <w:t>Y005</w:t>
            </w:r>
          </w:p>
        </w:tc>
        <w:tc>
          <w:tcPr>
            <w:tcW w:w="1860" w:type="dxa"/>
            <w:tcMar>
              <w:top w:w="0" w:type="dxa"/>
              <w:bottom w:w="0" w:type="dxa"/>
            </w:tcMar>
            <w:vAlign w:val="center"/>
          </w:tcPr>
          <w:p w14:paraId="51261A51" w14:textId="77777777" w:rsidR="002A33E0" w:rsidRDefault="00000000">
            <w:pPr>
              <w:keepNext/>
              <w:keepLines/>
              <w:spacing w:after="0" w:line="240" w:lineRule="auto"/>
              <w:jc w:val="right"/>
            </w:pPr>
            <w:r>
              <w:rPr>
                <w:sz w:val="18"/>
              </w:rPr>
              <w:t>0,00</w:t>
            </w:r>
          </w:p>
        </w:tc>
        <w:tc>
          <w:tcPr>
            <w:tcW w:w="1860" w:type="dxa"/>
            <w:tcMar>
              <w:top w:w="0" w:type="dxa"/>
              <w:bottom w:w="0" w:type="dxa"/>
            </w:tcMar>
            <w:vAlign w:val="center"/>
          </w:tcPr>
          <w:p w14:paraId="3DCC81B3" w14:textId="77777777" w:rsidR="002A33E0" w:rsidRDefault="00000000">
            <w:pPr>
              <w:keepNext/>
              <w:keepLines/>
              <w:spacing w:after="0" w:line="240" w:lineRule="auto"/>
              <w:jc w:val="right"/>
            </w:pPr>
            <w:r>
              <w:rPr>
                <w:sz w:val="18"/>
              </w:rPr>
              <w:t>1.152.143,41</w:t>
            </w:r>
          </w:p>
        </w:tc>
        <w:tc>
          <w:tcPr>
            <w:tcW w:w="700" w:type="dxa"/>
            <w:tcMar>
              <w:top w:w="0" w:type="dxa"/>
              <w:bottom w:w="0" w:type="dxa"/>
            </w:tcMar>
            <w:vAlign w:val="center"/>
          </w:tcPr>
          <w:p w14:paraId="6998758F" w14:textId="77777777" w:rsidR="002A33E0" w:rsidRDefault="00000000">
            <w:pPr>
              <w:keepNext/>
              <w:keepLines/>
              <w:spacing w:after="0" w:line="240" w:lineRule="auto"/>
              <w:jc w:val="right"/>
            </w:pPr>
            <w:r>
              <w:rPr>
                <w:sz w:val="18"/>
              </w:rPr>
              <w:t>-</w:t>
            </w:r>
          </w:p>
        </w:tc>
      </w:tr>
    </w:tbl>
    <w:p w14:paraId="527999CF" w14:textId="77777777" w:rsidR="002A33E0" w:rsidRDefault="002A33E0">
      <w:pPr>
        <w:spacing w:after="0"/>
      </w:pPr>
    </w:p>
    <w:p w14:paraId="1E0E75FD" w14:textId="77777777" w:rsidR="002A33E0" w:rsidRDefault="00000000">
      <w:pPr>
        <w:spacing w:line="240" w:lineRule="auto"/>
        <w:jc w:val="both"/>
      </w:pPr>
      <w:r>
        <w:lastRenderedPageBreak/>
        <w:t>Tokom izvještajnog razdoblja ostvaren je ukupni manjak prihoda i primitaka u iznosu od 1.132.547,51 EUR. Glavni razlog zbog kojega je ostvaren manjak prihoda je taj što se intenzivnije radilo na izgradnji i održavanju komunalne infrastrukture što se financiralo iz viška prihoda i primitaka prenesenog iz 2024. godine.</w:t>
      </w:r>
    </w:p>
    <w:p w14:paraId="2BD131F2" w14:textId="77777777" w:rsidR="002A33E0" w:rsidRDefault="002A33E0"/>
    <w:p w14:paraId="1375CBE3" w14:textId="77777777" w:rsidR="002A33E0"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A33E0" w14:paraId="5253B1E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1B7512" w14:textId="77777777" w:rsidR="002A33E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66F075" w14:textId="77777777" w:rsidR="002A33E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2385D5" w14:textId="77777777" w:rsidR="002A33E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D2013E" w14:textId="77777777" w:rsidR="002A33E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586583B" w14:textId="77777777" w:rsidR="002A33E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F38576" w14:textId="77777777" w:rsidR="002A33E0" w:rsidRDefault="00000000">
            <w:pPr>
              <w:keepNext/>
              <w:keepLines/>
              <w:spacing w:after="0" w:line="240" w:lineRule="auto"/>
              <w:jc w:val="center"/>
            </w:pPr>
            <w:r>
              <w:rPr>
                <w:b/>
                <w:sz w:val="18"/>
              </w:rPr>
              <w:t>Indeks (%)</w:t>
            </w:r>
          </w:p>
        </w:tc>
      </w:tr>
      <w:tr w:rsidR="002A33E0" w14:paraId="2E3DE4D3" w14:textId="77777777">
        <w:tblPrEx>
          <w:tblCellMar>
            <w:top w:w="0" w:type="dxa"/>
            <w:bottom w:w="0" w:type="dxa"/>
          </w:tblCellMar>
        </w:tblPrEx>
        <w:trPr>
          <w:cantSplit/>
          <w:trHeight w:val="560"/>
        </w:trPr>
        <w:tc>
          <w:tcPr>
            <w:tcW w:w="700" w:type="dxa"/>
            <w:tcMar>
              <w:top w:w="0" w:type="dxa"/>
              <w:bottom w:w="0" w:type="dxa"/>
            </w:tcMar>
            <w:vAlign w:val="center"/>
          </w:tcPr>
          <w:p w14:paraId="6FDD6B18" w14:textId="77777777" w:rsidR="002A33E0" w:rsidRDefault="00000000">
            <w:pPr>
              <w:keepNext/>
              <w:keepLines/>
              <w:spacing w:after="0" w:line="240" w:lineRule="auto"/>
            </w:pPr>
            <w:r>
              <w:rPr>
                <w:sz w:val="18"/>
              </w:rPr>
              <w:t>9221-9222</w:t>
            </w:r>
          </w:p>
        </w:tc>
        <w:tc>
          <w:tcPr>
            <w:tcW w:w="3180" w:type="dxa"/>
            <w:tcMar>
              <w:top w:w="0" w:type="dxa"/>
              <w:bottom w:w="0" w:type="dxa"/>
            </w:tcMar>
            <w:vAlign w:val="center"/>
          </w:tcPr>
          <w:p w14:paraId="1C62790C" w14:textId="77777777" w:rsidR="002A33E0" w:rsidRDefault="00000000">
            <w:pPr>
              <w:keepNext/>
              <w:keepLines/>
              <w:spacing w:after="0" w:line="240" w:lineRule="auto"/>
            </w:pPr>
            <w:r>
              <w:rPr>
                <w:sz w:val="18"/>
              </w:rPr>
              <w:t>Višak prihoda i primitaka - preneseni (šifre '9221x,9222x VP' - '9221x,9222x MP' + 92213 - 92223)</w:t>
            </w:r>
          </w:p>
        </w:tc>
        <w:tc>
          <w:tcPr>
            <w:tcW w:w="700" w:type="dxa"/>
            <w:tcMar>
              <w:top w:w="0" w:type="dxa"/>
              <w:bottom w:w="0" w:type="dxa"/>
            </w:tcMar>
            <w:vAlign w:val="center"/>
          </w:tcPr>
          <w:p w14:paraId="08CA889F" w14:textId="77777777" w:rsidR="002A33E0" w:rsidRDefault="00000000">
            <w:pPr>
              <w:keepNext/>
              <w:keepLines/>
              <w:spacing w:after="0" w:line="240" w:lineRule="auto"/>
            </w:pPr>
            <w:r>
              <w:rPr>
                <w:sz w:val="18"/>
              </w:rPr>
              <w:t>9221-9222</w:t>
            </w:r>
          </w:p>
        </w:tc>
        <w:tc>
          <w:tcPr>
            <w:tcW w:w="1860" w:type="dxa"/>
            <w:tcMar>
              <w:top w:w="0" w:type="dxa"/>
              <w:bottom w:w="0" w:type="dxa"/>
            </w:tcMar>
            <w:vAlign w:val="center"/>
          </w:tcPr>
          <w:p w14:paraId="5CE7E545" w14:textId="77777777" w:rsidR="002A33E0" w:rsidRDefault="00000000">
            <w:pPr>
              <w:keepNext/>
              <w:keepLines/>
              <w:spacing w:after="0" w:line="240" w:lineRule="auto"/>
              <w:jc w:val="right"/>
            </w:pPr>
            <w:r>
              <w:rPr>
                <w:sz w:val="18"/>
              </w:rPr>
              <w:t>1.224.511,60</w:t>
            </w:r>
          </w:p>
        </w:tc>
        <w:tc>
          <w:tcPr>
            <w:tcW w:w="1860" w:type="dxa"/>
            <w:tcMar>
              <w:top w:w="0" w:type="dxa"/>
              <w:bottom w:w="0" w:type="dxa"/>
            </w:tcMar>
            <w:vAlign w:val="center"/>
          </w:tcPr>
          <w:p w14:paraId="47537A08" w14:textId="77777777" w:rsidR="002A33E0" w:rsidRDefault="00000000">
            <w:pPr>
              <w:keepNext/>
              <w:keepLines/>
              <w:spacing w:after="0" w:line="240" w:lineRule="auto"/>
              <w:jc w:val="right"/>
            </w:pPr>
            <w:r>
              <w:rPr>
                <w:sz w:val="18"/>
              </w:rPr>
              <w:t>1.322.770,60</w:t>
            </w:r>
          </w:p>
        </w:tc>
        <w:tc>
          <w:tcPr>
            <w:tcW w:w="700" w:type="dxa"/>
            <w:tcMar>
              <w:top w:w="0" w:type="dxa"/>
              <w:bottom w:w="0" w:type="dxa"/>
            </w:tcMar>
            <w:vAlign w:val="center"/>
          </w:tcPr>
          <w:p w14:paraId="687D694F" w14:textId="77777777" w:rsidR="002A33E0" w:rsidRDefault="00000000">
            <w:pPr>
              <w:keepNext/>
              <w:keepLines/>
              <w:spacing w:after="0" w:line="240" w:lineRule="auto"/>
              <w:jc w:val="right"/>
            </w:pPr>
            <w:r>
              <w:rPr>
                <w:sz w:val="18"/>
              </w:rPr>
              <w:t>108,0</w:t>
            </w:r>
          </w:p>
        </w:tc>
      </w:tr>
    </w:tbl>
    <w:p w14:paraId="1780466D" w14:textId="77777777" w:rsidR="002A33E0" w:rsidRDefault="002A33E0">
      <w:pPr>
        <w:spacing w:after="0"/>
      </w:pPr>
    </w:p>
    <w:p w14:paraId="2F1A79EC" w14:textId="77777777" w:rsidR="002A33E0" w:rsidRDefault="00000000">
      <w:pPr>
        <w:spacing w:line="240" w:lineRule="auto"/>
        <w:jc w:val="both"/>
      </w:pPr>
      <w:r>
        <w:t>Rezultat poslovanja iz 2024. godine je bio višak prihoda i primitaka u iznosu od 1.322.770,60 EUR od čega se pokrio manjak prihoda i primitaka ostvaren u prvoj polovici 2025. godine.</w:t>
      </w:r>
    </w:p>
    <w:p w14:paraId="25C420A9" w14:textId="77777777" w:rsidR="002A33E0" w:rsidRDefault="002A33E0"/>
    <w:p w14:paraId="7025C9A2" w14:textId="77777777" w:rsidR="002A33E0" w:rsidRDefault="00000000">
      <w:pPr>
        <w:keepNext/>
        <w:spacing w:line="240" w:lineRule="auto"/>
        <w:jc w:val="center"/>
      </w:pPr>
      <w:r>
        <w:rPr>
          <w:b/>
          <w:sz w:val="28"/>
        </w:rPr>
        <w:t>Izvještaj o obvezama</w:t>
      </w:r>
    </w:p>
    <w:p w14:paraId="74B54EAC" w14:textId="77777777" w:rsidR="002A33E0"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A33E0" w14:paraId="75DC783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982261" w14:textId="77777777" w:rsidR="002A33E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96BD3DA" w14:textId="77777777" w:rsidR="002A33E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AB529F" w14:textId="77777777" w:rsidR="002A33E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8D8458" w14:textId="77777777" w:rsidR="002A33E0"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31ACAA2" w14:textId="77777777" w:rsidR="002A33E0" w:rsidRDefault="00000000">
            <w:pPr>
              <w:keepNext/>
              <w:keepLines/>
              <w:spacing w:after="0" w:line="240" w:lineRule="auto"/>
              <w:jc w:val="center"/>
            </w:pPr>
            <w:r>
              <w:rPr>
                <w:b/>
                <w:sz w:val="18"/>
              </w:rPr>
              <w:t>Indeks (%)</w:t>
            </w:r>
          </w:p>
        </w:tc>
      </w:tr>
      <w:tr w:rsidR="002A33E0" w14:paraId="086934A6" w14:textId="77777777">
        <w:tblPrEx>
          <w:tblCellMar>
            <w:top w:w="0" w:type="dxa"/>
            <w:bottom w:w="0" w:type="dxa"/>
          </w:tblCellMar>
        </w:tblPrEx>
        <w:trPr>
          <w:cantSplit/>
          <w:trHeight w:val="560"/>
        </w:trPr>
        <w:tc>
          <w:tcPr>
            <w:tcW w:w="700" w:type="dxa"/>
            <w:tcMar>
              <w:top w:w="0" w:type="dxa"/>
              <w:bottom w:w="0" w:type="dxa"/>
            </w:tcMar>
            <w:vAlign w:val="center"/>
          </w:tcPr>
          <w:p w14:paraId="25FC2415" w14:textId="77777777" w:rsidR="002A33E0" w:rsidRDefault="002A33E0">
            <w:pPr>
              <w:keepNext/>
              <w:keepLines/>
              <w:spacing w:after="0" w:line="240" w:lineRule="auto"/>
            </w:pPr>
          </w:p>
        </w:tc>
        <w:tc>
          <w:tcPr>
            <w:tcW w:w="3180" w:type="dxa"/>
            <w:tcMar>
              <w:top w:w="0" w:type="dxa"/>
              <w:bottom w:w="0" w:type="dxa"/>
            </w:tcMar>
            <w:vAlign w:val="center"/>
          </w:tcPr>
          <w:p w14:paraId="5500EE4D" w14:textId="77777777" w:rsidR="002A33E0" w:rsidRDefault="00000000">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14:paraId="1FC2F46A" w14:textId="77777777" w:rsidR="002A33E0" w:rsidRDefault="00000000">
            <w:pPr>
              <w:keepNext/>
              <w:keepLines/>
              <w:spacing w:after="0" w:line="240" w:lineRule="auto"/>
            </w:pPr>
            <w:r>
              <w:rPr>
                <w:sz w:val="18"/>
              </w:rPr>
              <w:t>V001</w:t>
            </w:r>
          </w:p>
        </w:tc>
        <w:tc>
          <w:tcPr>
            <w:tcW w:w="1860" w:type="dxa"/>
            <w:tcMar>
              <w:top w:w="0" w:type="dxa"/>
              <w:bottom w:w="0" w:type="dxa"/>
            </w:tcMar>
            <w:vAlign w:val="center"/>
          </w:tcPr>
          <w:p w14:paraId="15274454" w14:textId="77777777" w:rsidR="002A33E0" w:rsidRDefault="00000000">
            <w:pPr>
              <w:keepNext/>
              <w:keepLines/>
              <w:spacing w:after="0" w:line="240" w:lineRule="auto"/>
              <w:jc w:val="right"/>
            </w:pPr>
            <w:r>
              <w:rPr>
                <w:sz w:val="18"/>
              </w:rPr>
              <w:t>424.257,39</w:t>
            </w:r>
          </w:p>
        </w:tc>
        <w:tc>
          <w:tcPr>
            <w:tcW w:w="700" w:type="dxa"/>
            <w:tcMar>
              <w:top w:w="0" w:type="dxa"/>
              <w:bottom w:w="0" w:type="dxa"/>
            </w:tcMar>
            <w:vAlign w:val="center"/>
          </w:tcPr>
          <w:p w14:paraId="1E74F860" w14:textId="77777777" w:rsidR="002A33E0" w:rsidRDefault="00000000">
            <w:pPr>
              <w:keepNext/>
              <w:keepLines/>
              <w:spacing w:after="0" w:line="240" w:lineRule="auto"/>
              <w:jc w:val="right"/>
            </w:pPr>
            <w:r>
              <w:rPr>
                <w:sz w:val="18"/>
              </w:rPr>
              <w:t>-</w:t>
            </w:r>
          </w:p>
        </w:tc>
      </w:tr>
    </w:tbl>
    <w:p w14:paraId="47157981" w14:textId="77777777" w:rsidR="002A33E0" w:rsidRDefault="002A33E0">
      <w:pPr>
        <w:spacing w:after="0"/>
      </w:pPr>
    </w:p>
    <w:p w14:paraId="1DE3225B" w14:textId="77777777" w:rsidR="002A33E0" w:rsidRDefault="00000000">
      <w:pPr>
        <w:spacing w:line="240" w:lineRule="auto"/>
        <w:jc w:val="both"/>
      </w:pPr>
      <w:r>
        <w:t>Na početku izvještajnog razdoblja, odnosno 1. siječnja 2025. godine, ukupne obveze iznosile su 424.257,39 EUR.</w:t>
      </w:r>
    </w:p>
    <w:p w14:paraId="2DA9C464" w14:textId="77777777" w:rsidR="002A33E0" w:rsidRDefault="002A33E0"/>
    <w:p w14:paraId="64E0072B" w14:textId="77777777" w:rsidR="002A33E0"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A33E0" w14:paraId="7E49DE9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7FEA78" w14:textId="77777777" w:rsidR="002A33E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352BC03" w14:textId="77777777" w:rsidR="002A33E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037E55" w14:textId="77777777" w:rsidR="002A33E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124D8B" w14:textId="77777777" w:rsidR="002A33E0"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E35BABE" w14:textId="77777777" w:rsidR="002A33E0" w:rsidRDefault="00000000">
            <w:pPr>
              <w:keepNext/>
              <w:keepLines/>
              <w:spacing w:after="0" w:line="240" w:lineRule="auto"/>
              <w:jc w:val="center"/>
            </w:pPr>
            <w:r>
              <w:rPr>
                <w:b/>
                <w:sz w:val="18"/>
              </w:rPr>
              <w:t>Indeks (%)</w:t>
            </w:r>
          </w:p>
        </w:tc>
      </w:tr>
      <w:tr w:rsidR="002A33E0" w14:paraId="29D72D8F" w14:textId="77777777">
        <w:tblPrEx>
          <w:tblCellMar>
            <w:top w:w="0" w:type="dxa"/>
            <w:bottom w:w="0" w:type="dxa"/>
          </w:tblCellMar>
        </w:tblPrEx>
        <w:trPr>
          <w:cantSplit/>
          <w:trHeight w:val="560"/>
        </w:trPr>
        <w:tc>
          <w:tcPr>
            <w:tcW w:w="700" w:type="dxa"/>
            <w:tcMar>
              <w:top w:w="0" w:type="dxa"/>
              <w:bottom w:w="0" w:type="dxa"/>
            </w:tcMar>
            <w:vAlign w:val="center"/>
          </w:tcPr>
          <w:p w14:paraId="72EC4ED1" w14:textId="77777777" w:rsidR="002A33E0" w:rsidRDefault="002A33E0">
            <w:pPr>
              <w:keepNext/>
              <w:keepLines/>
              <w:spacing w:after="0" w:line="240" w:lineRule="auto"/>
            </w:pPr>
          </w:p>
        </w:tc>
        <w:tc>
          <w:tcPr>
            <w:tcW w:w="3180" w:type="dxa"/>
            <w:tcMar>
              <w:top w:w="0" w:type="dxa"/>
              <w:bottom w:w="0" w:type="dxa"/>
            </w:tcMar>
            <w:vAlign w:val="center"/>
          </w:tcPr>
          <w:p w14:paraId="6E98A8BA" w14:textId="77777777" w:rsidR="002A33E0" w:rsidRDefault="00000000">
            <w:pPr>
              <w:keepNext/>
              <w:keepLines/>
              <w:spacing w:after="0" w:line="240" w:lineRule="auto"/>
            </w:pPr>
            <w:r>
              <w:rPr>
                <w:sz w:val="18"/>
              </w:rPr>
              <w:t>Povećanje obveza u izvještajnom razdoblju (šifre V003+N23+N24 + 'N dio 25,26'+N27)</w:t>
            </w:r>
          </w:p>
        </w:tc>
        <w:tc>
          <w:tcPr>
            <w:tcW w:w="700" w:type="dxa"/>
            <w:tcMar>
              <w:top w:w="0" w:type="dxa"/>
              <w:bottom w:w="0" w:type="dxa"/>
            </w:tcMar>
            <w:vAlign w:val="center"/>
          </w:tcPr>
          <w:p w14:paraId="718DCAB3" w14:textId="77777777" w:rsidR="002A33E0" w:rsidRDefault="00000000">
            <w:pPr>
              <w:keepNext/>
              <w:keepLines/>
              <w:spacing w:after="0" w:line="240" w:lineRule="auto"/>
            </w:pPr>
            <w:r>
              <w:rPr>
                <w:sz w:val="18"/>
              </w:rPr>
              <w:t>V002</w:t>
            </w:r>
          </w:p>
        </w:tc>
        <w:tc>
          <w:tcPr>
            <w:tcW w:w="1860" w:type="dxa"/>
            <w:tcMar>
              <w:top w:w="0" w:type="dxa"/>
              <w:bottom w:w="0" w:type="dxa"/>
            </w:tcMar>
            <w:vAlign w:val="center"/>
          </w:tcPr>
          <w:p w14:paraId="67A61ADA" w14:textId="77777777" w:rsidR="002A33E0" w:rsidRDefault="00000000">
            <w:pPr>
              <w:keepNext/>
              <w:keepLines/>
              <w:spacing w:after="0" w:line="240" w:lineRule="auto"/>
              <w:jc w:val="right"/>
            </w:pPr>
            <w:r>
              <w:rPr>
                <w:sz w:val="18"/>
              </w:rPr>
              <w:t>2.548.441,92</w:t>
            </w:r>
          </w:p>
        </w:tc>
        <w:tc>
          <w:tcPr>
            <w:tcW w:w="700" w:type="dxa"/>
            <w:tcMar>
              <w:top w:w="0" w:type="dxa"/>
              <w:bottom w:w="0" w:type="dxa"/>
            </w:tcMar>
            <w:vAlign w:val="center"/>
          </w:tcPr>
          <w:p w14:paraId="6A6117B3" w14:textId="77777777" w:rsidR="002A33E0" w:rsidRDefault="00000000">
            <w:pPr>
              <w:keepNext/>
              <w:keepLines/>
              <w:spacing w:after="0" w:line="240" w:lineRule="auto"/>
              <w:jc w:val="right"/>
            </w:pPr>
            <w:r>
              <w:rPr>
                <w:sz w:val="18"/>
              </w:rPr>
              <w:t>-</w:t>
            </w:r>
          </w:p>
        </w:tc>
      </w:tr>
    </w:tbl>
    <w:p w14:paraId="3EFB8045" w14:textId="77777777" w:rsidR="002A33E0" w:rsidRDefault="002A33E0">
      <w:pPr>
        <w:spacing w:after="0"/>
      </w:pPr>
    </w:p>
    <w:p w14:paraId="5174AF2E" w14:textId="77777777" w:rsidR="002A33E0" w:rsidRDefault="00000000">
      <w:pPr>
        <w:spacing w:line="240" w:lineRule="auto"/>
        <w:jc w:val="both"/>
      </w:pPr>
      <w:r>
        <w:t>Tijekom izvještajnog razdoblja preuzete su obveze u iznosu od 2.548.441,92 EUR,</w:t>
      </w:r>
    </w:p>
    <w:p w14:paraId="047168EE" w14:textId="77777777" w:rsidR="002A33E0" w:rsidRDefault="002A33E0"/>
    <w:p w14:paraId="0DD3378C" w14:textId="77777777" w:rsidR="002A33E0"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A33E0" w14:paraId="060120F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06BB77" w14:textId="77777777" w:rsidR="002A33E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52BA9E" w14:textId="77777777" w:rsidR="002A33E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CE18F1" w14:textId="77777777" w:rsidR="002A33E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9F8B5A" w14:textId="77777777" w:rsidR="002A33E0"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8B1BF34" w14:textId="77777777" w:rsidR="002A33E0" w:rsidRDefault="00000000">
            <w:pPr>
              <w:keepNext/>
              <w:keepLines/>
              <w:spacing w:after="0" w:line="240" w:lineRule="auto"/>
              <w:jc w:val="center"/>
            </w:pPr>
            <w:r>
              <w:rPr>
                <w:b/>
                <w:sz w:val="18"/>
              </w:rPr>
              <w:t>Indeks (%)</w:t>
            </w:r>
          </w:p>
        </w:tc>
      </w:tr>
      <w:tr w:rsidR="002A33E0" w14:paraId="2D454DF7" w14:textId="77777777">
        <w:tblPrEx>
          <w:tblCellMar>
            <w:top w:w="0" w:type="dxa"/>
            <w:bottom w:w="0" w:type="dxa"/>
          </w:tblCellMar>
        </w:tblPrEx>
        <w:trPr>
          <w:cantSplit/>
          <w:trHeight w:val="560"/>
        </w:trPr>
        <w:tc>
          <w:tcPr>
            <w:tcW w:w="700" w:type="dxa"/>
            <w:tcMar>
              <w:top w:w="0" w:type="dxa"/>
              <w:bottom w:w="0" w:type="dxa"/>
            </w:tcMar>
            <w:vAlign w:val="center"/>
          </w:tcPr>
          <w:p w14:paraId="745B1705" w14:textId="77777777" w:rsidR="002A33E0" w:rsidRDefault="002A33E0">
            <w:pPr>
              <w:keepNext/>
              <w:keepLines/>
              <w:spacing w:after="0" w:line="240" w:lineRule="auto"/>
            </w:pPr>
          </w:p>
        </w:tc>
        <w:tc>
          <w:tcPr>
            <w:tcW w:w="3180" w:type="dxa"/>
            <w:tcMar>
              <w:top w:w="0" w:type="dxa"/>
              <w:bottom w:w="0" w:type="dxa"/>
            </w:tcMar>
            <w:vAlign w:val="center"/>
          </w:tcPr>
          <w:p w14:paraId="658F12D9" w14:textId="77777777" w:rsidR="002A33E0" w:rsidRDefault="00000000">
            <w:pPr>
              <w:keepNext/>
              <w:keepLines/>
              <w:spacing w:after="0" w:line="240" w:lineRule="auto"/>
            </w:pPr>
            <w:r>
              <w:rPr>
                <w:sz w:val="18"/>
              </w:rPr>
              <w:t>Podmirene obveze u izvještajnom razdoblju (šifre V005+P23+P24 + 'P dio 25,26'+P27)</w:t>
            </w:r>
          </w:p>
        </w:tc>
        <w:tc>
          <w:tcPr>
            <w:tcW w:w="700" w:type="dxa"/>
            <w:tcMar>
              <w:top w:w="0" w:type="dxa"/>
              <w:bottom w:w="0" w:type="dxa"/>
            </w:tcMar>
            <w:vAlign w:val="center"/>
          </w:tcPr>
          <w:p w14:paraId="3CD30EBC" w14:textId="77777777" w:rsidR="002A33E0" w:rsidRDefault="00000000">
            <w:pPr>
              <w:keepNext/>
              <w:keepLines/>
              <w:spacing w:after="0" w:line="240" w:lineRule="auto"/>
            </w:pPr>
            <w:r>
              <w:rPr>
                <w:sz w:val="18"/>
              </w:rPr>
              <w:t>V004</w:t>
            </w:r>
          </w:p>
        </w:tc>
        <w:tc>
          <w:tcPr>
            <w:tcW w:w="1860" w:type="dxa"/>
            <w:tcMar>
              <w:top w:w="0" w:type="dxa"/>
              <w:bottom w:w="0" w:type="dxa"/>
            </w:tcMar>
            <w:vAlign w:val="center"/>
          </w:tcPr>
          <w:p w14:paraId="07E91E76" w14:textId="77777777" w:rsidR="002A33E0" w:rsidRDefault="00000000">
            <w:pPr>
              <w:keepNext/>
              <w:keepLines/>
              <w:spacing w:after="0" w:line="240" w:lineRule="auto"/>
              <w:jc w:val="right"/>
            </w:pPr>
            <w:r>
              <w:rPr>
                <w:sz w:val="18"/>
              </w:rPr>
              <w:t>2.310.221,60</w:t>
            </w:r>
          </w:p>
        </w:tc>
        <w:tc>
          <w:tcPr>
            <w:tcW w:w="700" w:type="dxa"/>
            <w:tcMar>
              <w:top w:w="0" w:type="dxa"/>
              <w:bottom w:w="0" w:type="dxa"/>
            </w:tcMar>
            <w:vAlign w:val="center"/>
          </w:tcPr>
          <w:p w14:paraId="15425861" w14:textId="77777777" w:rsidR="002A33E0" w:rsidRDefault="00000000">
            <w:pPr>
              <w:keepNext/>
              <w:keepLines/>
              <w:spacing w:after="0" w:line="240" w:lineRule="auto"/>
              <w:jc w:val="right"/>
            </w:pPr>
            <w:r>
              <w:rPr>
                <w:sz w:val="18"/>
              </w:rPr>
              <w:t>-</w:t>
            </w:r>
          </w:p>
        </w:tc>
      </w:tr>
    </w:tbl>
    <w:p w14:paraId="56CCD692" w14:textId="77777777" w:rsidR="002A33E0" w:rsidRDefault="002A33E0">
      <w:pPr>
        <w:spacing w:after="0"/>
      </w:pPr>
    </w:p>
    <w:p w14:paraId="0B5070B7" w14:textId="77777777" w:rsidR="002A33E0" w:rsidRDefault="00000000">
      <w:pPr>
        <w:spacing w:line="240" w:lineRule="auto"/>
        <w:jc w:val="both"/>
      </w:pPr>
      <w:r>
        <w:lastRenderedPageBreak/>
        <w:t>Tijekom izvještajnog razdoblja podmirene su obveze u iznosu od 2.310.221,60 EUR iz čega proizlazi da su nepodmirene obveze u iznosu od 662.477,71 EUR od čega je 46.067,44 dospjelo a 616.410,27 EUR nedospjelo</w:t>
      </w:r>
    </w:p>
    <w:p w14:paraId="2800CF82" w14:textId="77777777" w:rsidR="002A33E0" w:rsidRDefault="002A33E0"/>
    <w:p w14:paraId="42257C74" w14:textId="77777777" w:rsidR="002A33E0"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A33E0" w14:paraId="574FC9F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2439E5" w14:textId="77777777" w:rsidR="002A33E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FCDD22C" w14:textId="77777777" w:rsidR="002A33E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049C80" w14:textId="77777777" w:rsidR="002A33E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F4D562" w14:textId="77777777" w:rsidR="002A33E0"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0AAE63F" w14:textId="77777777" w:rsidR="002A33E0" w:rsidRDefault="00000000">
            <w:pPr>
              <w:keepNext/>
              <w:keepLines/>
              <w:spacing w:after="0" w:line="240" w:lineRule="auto"/>
              <w:jc w:val="center"/>
            </w:pPr>
            <w:r>
              <w:rPr>
                <w:b/>
                <w:sz w:val="18"/>
              </w:rPr>
              <w:t>Indeks (%)</w:t>
            </w:r>
          </w:p>
        </w:tc>
      </w:tr>
      <w:tr w:rsidR="002A33E0" w14:paraId="2C6073FC" w14:textId="77777777">
        <w:tblPrEx>
          <w:tblCellMar>
            <w:top w:w="0" w:type="dxa"/>
            <w:bottom w:w="0" w:type="dxa"/>
          </w:tblCellMar>
        </w:tblPrEx>
        <w:trPr>
          <w:cantSplit/>
          <w:trHeight w:val="560"/>
        </w:trPr>
        <w:tc>
          <w:tcPr>
            <w:tcW w:w="700" w:type="dxa"/>
            <w:tcMar>
              <w:top w:w="0" w:type="dxa"/>
              <w:bottom w:w="0" w:type="dxa"/>
            </w:tcMar>
            <w:vAlign w:val="center"/>
          </w:tcPr>
          <w:p w14:paraId="2B03E2B9" w14:textId="77777777" w:rsidR="002A33E0" w:rsidRDefault="002A33E0">
            <w:pPr>
              <w:keepNext/>
              <w:keepLines/>
              <w:spacing w:after="0" w:line="240" w:lineRule="auto"/>
            </w:pPr>
          </w:p>
        </w:tc>
        <w:tc>
          <w:tcPr>
            <w:tcW w:w="3180" w:type="dxa"/>
            <w:tcMar>
              <w:top w:w="0" w:type="dxa"/>
              <w:bottom w:w="0" w:type="dxa"/>
            </w:tcMar>
            <w:vAlign w:val="center"/>
          </w:tcPr>
          <w:p w14:paraId="4F1D8C74" w14:textId="77777777" w:rsidR="002A33E0"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3BA20F4A" w14:textId="77777777" w:rsidR="002A33E0" w:rsidRDefault="00000000">
            <w:pPr>
              <w:keepNext/>
              <w:keepLines/>
              <w:spacing w:after="0" w:line="240" w:lineRule="auto"/>
            </w:pPr>
            <w:r>
              <w:rPr>
                <w:sz w:val="18"/>
              </w:rPr>
              <w:t>V007</w:t>
            </w:r>
          </w:p>
        </w:tc>
        <w:tc>
          <w:tcPr>
            <w:tcW w:w="1860" w:type="dxa"/>
            <w:tcMar>
              <w:top w:w="0" w:type="dxa"/>
              <w:bottom w:w="0" w:type="dxa"/>
            </w:tcMar>
            <w:vAlign w:val="center"/>
          </w:tcPr>
          <w:p w14:paraId="533158DB" w14:textId="77777777" w:rsidR="002A33E0" w:rsidRDefault="00000000">
            <w:pPr>
              <w:keepNext/>
              <w:keepLines/>
              <w:spacing w:after="0" w:line="240" w:lineRule="auto"/>
              <w:jc w:val="right"/>
            </w:pPr>
            <w:r>
              <w:rPr>
                <w:sz w:val="18"/>
              </w:rPr>
              <w:t>46.067,44</w:t>
            </w:r>
          </w:p>
        </w:tc>
        <w:tc>
          <w:tcPr>
            <w:tcW w:w="700" w:type="dxa"/>
            <w:tcMar>
              <w:top w:w="0" w:type="dxa"/>
              <w:bottom w:w="0" w:type="dxa"/>
            </w:tcMar>
            <w:vAlign w:val="center"/>
          </w:tcPr>
          <w:p w14:paraId="272AB4A2" w14:textId="77777777" w:rsidR="002A33E0" w:rsidRDefault="00000000">
            <w:pPr>
              <w:keepNext/>
              <w:keepLines/>
              <w:spacing w:after="0" w:line="240" w:lineRule="auto"/>
              <w:jc w:val="right"/>
            </w:pPr>
            <w:r>
              <w:rPr>
                <w:sz w:val="18"/>
              </w:rPr>
              <w:t>-</w:t>
            </w:r>
          </w:p>
        </w:tc>
      </w:tr>
    </w:tbl>
    <w:p w14:paraId="0B4E48D1" w14:textId="77777777" w:rsidR="002A33E0" w:rsidRDefault="002A33E0">
      <w:pPr>
        <w:spacing w:after="0"/>
      </w:pPr>
    </w:p>
    <w:p w14:paraId="554C2B3A" w14:textId="77777777" w:rsidR="002A33E0" w:rsidRDefault="00000000">
      <w:pPr>
        <w:spacing w:line="240" w:lineRule="auto"/>
        <w:jc w:val="both"/>
      </w:pPr>
      <w:r>
        <w:t>Na kraju izvještajnog razdoblja Općina Ražanac ima evidentirane ukupne obveze u iznosu 662.477,71 EUR od čega je 46.067,44 dospjelo a 616.410,27 EUR nedospjelo.   Obveze koje su dospjele a nisu podmirene odnose se na račune dobavljača koji zbog nekog razloga nisu potpuni te prema Proceduri zaprimanja, provjere i plaćanja računa nisu poslani na plaćanje te se čeka da dobavljači upotpune elemente koji nedostaju kako bi se obaveze podmirile.</w:t>
      </w:r>
    </w:p>
    <w:p w14:paraId="66233DD7" w14:textId="77777777" w:rsidR="002A33E0" w:rsidRDefault="002A33E0"/>
    <w:sectPr w:rsidR="002A33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3E0"/>
    <w:rsid w:val="000A647E"/>
    <w:rsid w:val="002A33E0"/>
    <w:rsid w:val="009D2D5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8ECF2"/>
  <w15:docId w15:val="{3510C936-1407-4E8B-955B-E1DE8C31B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2976</Words>
  <Characters>16966</Characters>
  <Application>Microsoft Office Word</Application>
  <DocSecurity>0</DocSecurity>
  <Lines>141</Lines>
  <Paragraphs>39</Paragraphs>
  <ScaleCrop>false</ScaleCrop>
  <Company/>
  <LinksUpToDate>false</LinksUpToDate>
  <CharactersWithSpaces>19903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Općina Ražanac</dc:creator>
  <cp:lastModifiedBy>Općina Ražanac</cp:lastModifiedBy>
  <cp:revision>2</cp:revision>
  <dcterms:created xsi:type="dcterms:W3CDTF">2025-07-17T06:02:00Z</dcterms:created>
  <dcterms:modified xsi:type="dcterms:W3CDTF">2025-07-17T06:02:00Z</dcterms:modified>
</cp:coreProperties>
</file>